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DE6" w:rsidRPr="00A503D4" w:rsidRDefault="00CE3DE6" w:rsidP="008F1B66">
      <w:pPr>
        <w:keepNext/>
        <w:spacing w:before="240" w:after="60"/>
        <w:jc w:val="center"/>
        <w:outlineLvl w:val="1"/>
        <w:rPr>
          <w:b/>
          <w:bCs/>
          <w:i/>
          <w:iCs/>
          <w:sz w:val="32"/>
          <w:szCs w:val="32"/>
        </w:rPr>
      </w:pPr>
    </w:p>
    <w:p w:rsidR="00CE3DE6" w:rsidRPr="00A503D4" w:rsidRDefault="00CE3DE6" w:rsidP="008F1B66">
      <w:pPr>
        <w:keepNext/>
        <w:spacing w:before="240" w:after="60"/>
        <w:jc w:val="center"/>
        <w:outlineLvl w:val="1"/>
        <w:rPr>
          <w:b/>
          <w:bCs/>
          <w:i/>
          <w:iCs/>
          <w:sz w:val="32"/>
          <w:szCs w:val="32"/>
        </w:rPr>
      </w:pPr>
      <w:r w:rsidRPr="00A503D4">
        <w:rPr>
          <w:b/>
          <w:bCs/>
          <w:i/>
          <w:iCs/>
          <w:sz w:val="32"/>
          <w:szCs w:val="32"/>
        </w:rPr>
        <w:t>Публична инвестиционна програма „Растеж и устойчиво развитие на регионите"</w:t>
      </w:r>
    </w:p>
    <w:p w:rsidR="00CE3DE6" w:rsidRPr="00A503D4" w:rsidRDefault="00CE3DE6" w:rsidP="008F1B66">
      <w:pPr>
        <w:spacing w:line="276" w:lineRule="auto"/>
        <w:jc w:val="center"/>
        <w:rPr>
          <w:b/>
          <w:bCs/>
          <w:caps/>
          <w:sz w:val="28"/>
          <w:szCs w:val="28"/>
          <w:lang w:val="ru-RU" w:eastAsia="en-US"/>
        </w:rPr>
      </w:pPr>
    </w:p>
    <w:p w:rsidR="00CE3DE6" w:rsidRPr="00192D1F" w:rsidRDefault="007A24FB" w:rsidP="008F1B66">
      <w:pPr>
        <w:spacing w:line="276" w:lineRule="auto"/>
        <w:jc w:val="center"/>
        <w:rPr>
          <w:color w:val="333333"/>
          <w:lang w:val="ru-RU" w:eastAsia="en-US"/>
        </w:rPr>
      </w:pPr>
      <w:hyperlink r:id="rId7" w:history="1">
        <w:r w:rsidR="00CE3DE6" w:rsidRPr="00A503D4">
          <w:rPr>
            <w:color w:val="0000FF"/>
            <w:u w:val="single"/>
            <w:lang w:eastAsia="en-US"/>
          </w:rPr>
          <w:t>http://www.minfin.bg/bg/page/853</w:t>
        </w:r>
      </w:hyperlink>
    </w:p>
    <w:p w:rsidR="00CE3DE6" w:rsidRPr="00192D1F" w:rsidRDefault="00CE3DE6" w:rsidP="008F1B66">
      <w:pPr>
        <w:spacing w:line="276" w:lineRule="auto"/>
        <w:jc w:val="center"/>
        <w:rPr>
          <w:color w:val="333333"/>
          <w:lang w:val="ru-RU" w:eastAsia="en-US"/>
        </w:rPr>
      </w:pPr>
    </w:p>
    <w:p w:rsidR="00CE3DE6" w:rsidRPr="00192D1F" w:rsidRDefault="00CE3DE6" w:rsidP="008F1B66">
      <w:pPr>
        <w:spacing w:line="276" w:lineRule="auto"/>
        <w:jc w:val="center"/>
        <w:rPr>
          <w:color w:val="333333"/>
          <w:lang w:val="ru-RU" w:eastAsia="en-US"/>
        </w:rPr>
      </w:pPr>
    </w:p>
    <w:p w:rsidR="00CE3DE6" w:rsidRPr="00192D1F" w:rsidRDefault="00CE3DE6" w:rsidP="008F1B66">
      <w:pPr>
        <w:spacing w:line="276" w:lineRule="auto"/>
        <w:jc w:val="center"/>
        <w:rPr>
          <w:color w:val="333333"/>
          <w:lang w:val="ru-RU" w:eastAsia="en-US"/>
        </w:rPr>
      </w:pPr>
    </w:p>
    <w:p w:rsidR="00CE3DE6" w:rsidRPr="00A503D4" w:rsidRDefault="007A24FB" w:rsidP="008F1B66">
      <w:pPr>
        <w:spacing w:before="60" w:after="100" w:afterAutospacing="1"/>
        <w:jc w:val="center"/>
        <w:rPr>
          <w:b/>
          <w:bCs/>
          <w:i/>
          <w:iCs/>
        </w:rPr>
      </w:pPr>
      <w:r w:rsidRPr="007A24FB">
        <w:rPr>
          <w:b/>
          <w:bCs/>
          <w:i/>
          <w:iCs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" o:spid="_x0000_i1025" type="#_x0000_t75" alt="Logo Obshtina" style="width:321pt;height:113.25pt;visibility:visible">
            <v:imagedata r:id="rId8" o:title=""/>
          </v:shape>
        </w:pict>
      </w:r>
    </w:p>
    <w:p w:rsidR="00CE3DE6" w:rsidRDefault="00CE3DE6" w:rsidP="008F1B66">
      <w:pPr>
        <w:ind w:left="567"/>
        <w:jc w:val="center"/>
        <w:rPr>
          <w:b/>
          <w:bCs/>
          <w:u w:val="single"/>
          <w:lang w:val="en-US"/>
        </w:rPr>
      </w:pPr>
    </w:p>
    <w:p w:rsidR="00CE3DE6" w:rsidRPr="009B7527" w:rsidRDefault="00CE3DE6" w:rsidP="008F1B66">
      <w:pPr>
        <w:ind w:left="567"/>
        <w:jc w:val="center"/>
        <w:rPr>
          <w:b/>
          <w:bCs/>
          <w:u w:val="single"/>
          <w:lang w:val="en-US"/>
        </w:rPr>
      </w:pPr>
    </w:p>
    <w:p w:rsidR="00CE3DE6" w:rsidRPr="00653064" w:rsidRDefault="00CE3DE6">
      <w:pPr>
        <w:ind w:left="567"/>
        <w:jc w:val="center"/>
        <w:rPr>
          <w:b/>
          <w:bCs/>
          <w:u w:val="single"/>
          <w:lang w:val="ru-RU"/>
        </w:rPr>
      </w:pPr>
    </w:p>
    <w:p w:rsidR="00CE3DE6" w:rsidRPr="00653064" w:rsidRDefault="00CE3DE6">
      <w:pPr>
        <w:ind w:left="3447" w:hanging="2454"/>
        <w:jc w:val="center"/>
        <w:rPr>
          <w:b/>
          <w:bCs/>
          <w:sz w:val="40"/>
          <w:szCs w:val="40"/>
          <w:lang w:val="ru-RU"/>
        </w:rPr>
      </w:pPr>
      <w:r w:rsidRPr="00653064">
        <w:rPr>
          <w:b/>
          <w:bCs/>
          <w:sz w:val="40"/>
          <w:szCs w:val="40"/>
          <w:lang w:val="ru-RU"/>
        </w:rPr>
        <w:t>МЕТОДОЛОГИЯ ЗА ОЦЕНКА</w:t>
      </w:r>
    </w:p>
    <w:p w:rsidR="00CE3DE6" w:rsidRPr="00653064" w:rsidRDefault="00CE3DE6">
      <w:pPr>
        <w:ind w:left="567"/>
        <w:jc w:val="center"/>
        <w:rPr>
          <w:b/>
          <w:bCs/>
          <w:lang w:val="ru-RU"/>
        </w:rPr>
      </w:pPr>
    </w:p>
    <w:p w:rsidR="00CE3DE6" w:rsidRPr="00653064" w:rsidRDefault="00CE3DE6">
      <w:pPr>
        <w:ind w:left="567"/>
        <w:jc w:val="center"/>
        <w:rPr>
          <w:b/>
          <w:bCs/>
          <w:lang w:val="ru-RU"/>
        </w:rPr>
      </w:pPr>
    </w:p>
    <w:p w:rsidR="00CE3DE6" w:rsidRPr="00653064" w:rsidRDefault="00CE3DE6">
      <w:pPr>
        <w:ind w:left="567"/>
        <w:outlineLvl w:val="0"/>
        <w:rPr>
          <w:b/>
          <w:bCs/>
          <w:lang w:val="ru-RU"/>
        </w:rPr>
      </w:pPr>
      <w:r w:rsidRPr="00653064">
        <w:rPr>
          <w:b/>
          <w:bCs/>
          <w:lang w:val="ru-RU"/>
        </w:rPr>
        <w:t xml:space="preserve">                                       В ОТКРИТА ПРОЦЕДУРА</w:t>
      </w:r>
    </w:p>
    <w:p w:rsidR="00CE3DE6" w:rsidRPr="00653064" w:rsidRDefault="00CE3DE6">
      <w:pPr>
        <w:ind w:left="-142" w:firstLine="426"/>
        <w:jc w:val="center"/>
        <w:rPr>
          <w:b/>
          <w:bCs/>
          <w:lang w:val="ru-RU"/>
        </w:rPr>
      </w:pPr>
      <w:r w:rsidRPr="00653064">
        <w:rPr>
          <w:b/>
          <w:bCs/>
          <w:lang w:val="ru-RU"/>
        </w:rPr>
        <w:t>ЗА ВЪЗЛАГАНЕ НА ОБЩЕСТВЕНА ПОРЪЧКА С ПРЕДМЕТ:</w:t>
      </w:r>
    </w:p>
    <w:p w:rsidR="00CE3DE6" w:rsidRPr="00653064" w:rsidRDefault="00CE3DE6">
      <w:pPr>
        <w:ind w:left="567"/>
        <w:jc w:val="center"/>
        <w:rPr>
          <w:b/>
          <w:bCs/>
          <w:lang w:val="ru-RU"/>
        </w:rPr>
      </w:pPr>
    </w:p>
    <w:p w:rsidR="00CE3DE6" w:rsidRPr="00653064" w:rsidRDefault="00CE3DE6">
      <w:pPr>
        <w:ind w:left="567"/>
        <w:jc w:val="center"/>
        <w:rPr>
          <w:b/>
          <w:bCs/>
          <w:sz w:val="22"/>
          <w:szCs w:val="22"/>
          <w:lang w:val="ru-RU"/>
        </w:rPr>
      </w:pPr>
    </w:p>
    <w:p w:rsidR="00CE3DE6" w:rsidRPr="00653064" w:rsidRDefault="00CE3D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0"/>
        </w:tabs>
        <w:jc w:val="center"/>
        <w:rPr>
          <w:b/>
          <w:bCs/>
          <w:i/>
          <w:iCs/>
          <w:lang w:val="ru-RU"/>
        </w:rPr>
      </w:pPr>
    </w:p>
    <w:p w:rsidR="00CE3DE6" w:rsidRPr="00653064" w:rsidRDefault="00CE3D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center"/>
        <w:rPr>
          <w:b/>
          <w:bCs/>
          <w:i/>
          <w:iCs/>
          <w:caps/>
          <w:sz w:val="32"/>
          <w:szCs w:val="32"/>
          <w:lang w:val="ru-RU"/>
        </w:rPr>
      </w:pPr>
      <w:r w:rsidRPr="002832A6">
        <w:rPr>
          <w:b/>
          <w:bCs/>
          <w:caps/>
          <w:sz w:val="32"/>
          <w:szCs w:val="32"/>
        </w:rPr>
        <w:t>ИЗБОР НА ИЗПЪЛНИТЕЛ на договор с договорните условия на ФИДИК Жълта книга и предмет "Изграждане на Пречиствателна станция за питейни води за гр. Шумен и населените места в Община Шумен – фаза</w:t>
      </w:r>
      <w:r w:rsidRPr="002832A6">
        <w:rPr>
          <w:caps/>
        </w:rPr>
        <w:t xml:space="preserve"> </w:t>
      </w:r>
      <w:r w:rsidRPr="002832A6">
        <w:rPr>
          <w:b/>
          <w:bCs/>
          <w:caps/>
          <w:sz w:val="32"/>
          <w:szCs w:val="32"/>
          <w:lang w:val="en-US"/>
        </w:rPr>
        <w:t>I</w:t>
      </w:r>
      <w:r w:rsidRPr="002832A6">
        <w:rPr>
          <w:b/>
          <w:bCs/>
          <w:caps/>
          <w:sz w:val="32"/>
          <w:szCs w:val="32"/>
        </w:rPr>
        <w:t>"</w:t>
      </w:r>
    </w:p>
    <w:p w:rsidR="00CE3DE6" w:rsidRPr="00653064" w:rsidRDefault="00CE3D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lang w:val="ru-RU"/>
        </w:rPr>
      </w:pPr>
    </w:p>
    <w:p w:rsidR="00CE3DE6" w:rsidRPr="00653064" w:rsidRDefault="00CE3DE6">
      <w:pPr>
        <w:jc w:val="both"/>
        <w:rPr>
          <w:lang w:val="ru-RU"/>
        </w:rPr>
      </w:pPr>
    </w:p>
    <w:p w:rsidR="00CE3DE6" w:rsidRPr="00653064" w:rsidRDefault="00CE3DE6">
      <w:pPr>
        <w:rPr>
          <w:sz w:val="28"/>
          <w:szCs w:val="28"/>
        </w:rPr>
      </w:pPr>
    </w:p>
    <w:p w:rsidR="00CE3DE6" w:rsidRPr="00653064" w:rsidRDefault="00CE3DE6">
      <w:pPr>
        <w:rPr>
          <w:sz w:val="28"/>
          <w:szCs w:val="28"/>
        </w:rPr>
      </w:pPr>
    </w:p>
    <w:p w:rsidR="00CE3DE6" w:rsidRPr="00653064" w:rsidRDefault="00CE3DE6">
      <w:pPr>
        <w:rPr>
          <w:sz w:val="28"/>
          <w:szCs w:val="28"/>
        </w:rPr>
      </w:pPr>
    </w:p>
    <w:p w:rsidR="00CE3DE6" w:rsidRPr="00653064" w:rsidRDefault="00CE3DE6">
      <w:pPr>
        <w:rPr>
          <w:sz w:val="28"/>
          <w:szCs w:val="28"/>
        </w:rPr>
      </w:pPr>
    </w:p>
    <w:p w:rsidR="00CE3DE6" w:rsidRPr="00653064" w:rsidRDefault="00CE3DE6">
      <w:pPr>
        <w:rPr>
          <w:sz w:val="28"/>
          <w:szCs w:val="28"/>
        </w:rPr>
      </w:pPr>
    </w:p>
    <w:p w:rsidR="00CE3DE6" w:rsidRPr="00653064" w:rsidRDefault="00CE3DE6">
      <w:pPr>
        <w:rPr>
          <w:sz w:val="28"/>
          <w:szCs w:val="28"/>
        </w:rPr>
      </w:pPr>
    </w:p>
    <w:p w:rsidR="00CE3DE6" w:rsidRPr="00653064" w:rsidRDefault="00CE3DE6">
      <w:pPr>
        <w:rPr>
          <w:sz w:val="28"/>
          <w:szCs w:val="28"/>
        </w:rPr>
      </w:pPr>
    </w:p>
    <w:p w:rsidR="00CE3DE6" w:rsidRPr="00653064" w:rsidRDefault="00CE3DE6">
      <w:pPr>
        <w:rPr>
          <w:sz w:val="28"/>
          <w:szCs w:val="28"/>
        </w:rPr>
      </w:pPr>
    </w:p>
    <w:p w:rsidR="00CE3DE6" w:rsidRPr="00653064" w:rsidRDefault="00CE3DE6">
      <w:pPr>
        <w:rPr>
          <w:b/>
          <w:bCs/>
        </w:rPr>
      </w:pPr>
    </w:p>
    <w:p w:rsidR="00CE3DE6" w:rsidRPr="00653064" w:rsidRDefault="00CE3DE6">
      <w:pPr>
        <w:spacing w:after="120"/>
        <w:ind w:left="357" w:hanging="357"/>
        <w:jc w:val="both"/>
        <w:rPr>
          <w:u w:val="single"/>
        </w:rPr>
      </w:pPr>
      <w:r w:rsidRPr="00653064">
        <w:t xml:space="preserve">Критерият за оценка на предложенията е </w:t>
      </w:r>
      <w:r w:rsidRPr="00653064">
        <w:rPr>
          <w:b/>
          <w:bCs/>
          <w:u w:val="single"/>
        </w:rPr>
        <w:t>икономически най-изгодна оферта.</w:t>
      </w:r>
      <w:r w:rsidRPr="00653064">
        <w:rPr>
          <w:u w:val="single"/>
        </w:rPr>
        <w:t xml:space="preserve"> </w:t>
      </w:r>
    </w:p>
    <w:p w:rsidR="00CE3DE6" w:rsidRPr="00653064" w:rsidRDefault="00CE3DE6" w:rsidP="00041A7B">
      <w:pPr>
        <w:ind w:firstLine="567"/>
        <w:jc w:val="both"/>
        <w:rPr>
          <w:rStyle w:val="FontStyle16"/>
        </w:rPr>
      </w:pPr>
      <w:r w:rsidRPr="00653064">
        <w:rPr>
          <w:rStyle w:val="FontStyle16"/>
        </w:rPr>
        <w:t>1.Оценка на офертите (методика на оценяване)</w:t>
      </w:r>
    </w:p>
    <w:p w:rsidR="00CE3DE6" w:rsidRPr="00653064" w:rsidRDefault="00CE3DE6" w:rsidP="00041A7B">
      <w:pPr>
        <w:ind w:firstLine="567"/>
        <w:jc w:val="both"/>
        <w:rPr>
          <w:rStyle w:val="FontStyle16"/>
        </w:rPr>
      </w:pPr>
    </w:p>
    <w:p w:rsidR="00CE3DE6" w:rsidRPr="00653064" w:rsidRDefault="00CE3DE6" w:rsidP="00041A7B">
      <w:pPr>
        <w:ind w:firstLine="567"/>
        <w:jc w:val="both"/>
        <w:rPr>
          <w:rStyle w:val="FontStyle16"/>
        </w:rPr>
      </w:pPr>
      <w:r w:rsidRPr="00653064">
        <w:rPr>
          <w:rStyle w:val="FontStyle16"/>
        </w:rPr>
        <w:t>1.1.При оценката на предложенията първо се разглежда техническата част, след това финансовата и накрая двете оценки се обединяват, както следва:</w:t>
      </w:r>
    </w:p>
    <w:p w:rsidR="00CE3DE6" w:rsidRPr="00653064" w:rsidRDefault="00CE3DE6" w:rsidP="00041A7B">
      <w:pPr>
        <w:ind w:firstLine="567"/>
        <w:jc w:val="both"/>
        <w:rPr>
          <w:rStyle w:val="FontStyle16"/>
        </w:rPr>
      </w:pPr>
      <w:r w:rsidRPr="00653064">
        <w:rPr>
          <w:rStyle w:val="FontStyle16"/>
        </w:rPr>
        <w:t>КО = (70% х ТО) + (30% х ФО)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</w:rPr>
        <w:t>където: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КО е крайна оценка на предложението;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ТО е техническата оценка на цялостна концепция за изпълнение на проекта;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Тежестта на техническата оценка на предложението  в КО е 70%.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ФО е финансовата оценка на предложението.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Тежестта на финансовата оценка на предложението  в КО е 30%.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</w:p>
    <w:p w:rsidR="00CE3DE6" w:rsidRPr="00653064" w:rsidRDefault="00CE3DE6" w:rsidP="00041A7B">
      <w:pPr>
        <w:ind w:firstLine="567"/>
        <w:jc w:val="both"/>
        <w:rPr>
          <w:rStyle w:val="FontStyle16"/>
        </w:rPr>
      </w:pPr>
      <w:r w:rsidRPr="00653064">
        <w:rPr>
          <w:rStyle w:val="FontStyle16"/>
        </w:rPr>
        <w:t xml:space="preserve">1.2.Техническа оценка на </w:t>
      </w:r>
      <w:r>
        <w:rPr>
          <w:rStyle w:val="FontStyle16"/>
        </w:rPr>
        <w:t>предложението</w:t>
      </w:r>
      <w:r w:rsidRPr="00653064">
        <w:rPr>
          <w:rStyle w:val="FontStyle16"/>
        </w:rPr>
        <w:t xml:space="preserve"> за изпълнение на проекта - ТО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</w:rPr>
        <w:t>Техническата оценка на предложението се извършва преди отварянето на ПЛИК № 3 -"Предлагана цена".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  <w:r w:rsidRPr="00653064">
        <w:rPr>
          <w:rStyle w:val="FontStyle16"/>
          <w:b w:val="0"/>
          <w:bCs w:val="0"/>
          <w:i/>
          <w:iCs/>
        </w:rPr>
        <w:t xml:space="preserve">Отчитайки спецификата на проекта, избрания подход за реализация включващ проектиране и изпълнение на </w:t>
      </w:r>
      <w:r>
        <w:rPr>
          <w:rStyle w:val="FontStyle16"/>
          <w:b w:val="0"/>
          <w:bCs w:val="0"/>
          <w:i/>
          <w:iCs/>
        </w:rPr>
        <w:t>ПСПВ</w:t>
      </w:r>
      <w:r w:rsidRPr="00653064">
        <w:rPr>
          <w:rStyle w:val="FontStyle16"/>
          <w:b w:val="0"/>
          <w:bCs w:val="0"/>
          <w:i/>
          <w:iCs/>
        </w:rPr>
        <w:t>, ограничения срок и финансов лимит за финализиране на проекта, Възложителят търси конкретни отговори на следните въпроси: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  <w:r w:rsidRPr="00653064">
        <w:rPr>
          <w:rStyle w:val="FontStyle16"/>
          <w:b w:val="0"/>
          <w:bCs w:val="0"/>
          <w:i/>
          <w:iCs/>
        </w:rPr>
        <w:t xml:space="preserve">-виждането на участника за цялостно реализиране на проекта – проектиране, доставка  на технологично оборудване, </w:t>
      </w:r>
      <w:r>
        <w:rPr>
          <w:rStyle w:val="FontStyle16"/>
          <w:b w:val="0"/>
          <w:bCs w:val="0"/>
          <w:i/>
          <w:iCs/>
        </w:rPr>
        <w:t xml:space="preserve"> изграждане и</w:t>
      </w:r>
      <w:r w:rsidRPr="00653064">
        <w:rPr>
          <w:rStyle w:val="FontStyle16"/>
          <w:b w:val="0"/>
          <w:bCs w:val="0"/>
          <w:i/>
          <w:iCs/>
        </w:rPr>
        <w:t xml:space="preserve"> въвеждане в експлоатация, постигане на проектните показатели по производителност и качество на пречистената вода; 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  <w:r w:rsidRPr="00653064">
        <w:rPr>
          <w:rStyle w:val="FontStyle16"/>
          <w:b w:val="0"/>
          <w:bCs w:val="0"/>
          <w:i/>
          <w:iCs/>
        </w:rPr>
        <w:t>-как участникът  обвързва реализацията  на проекта с изискванията за постигане на висока енергийна ефективност;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  <w:r w:rsidRPr="00653064">
        <w:rPr>
          <w:rStyle w:val="FontStyle16"/>
          <w:b w:val="0"/>
          <w:bCs w:val="0"/>
          <w:i/>
          <w:iCs/>
        </w:rPr>
        <w:t>-как гарантира устойчивост на екологичните норми</w:t>
      </w:r>
      <w:r>
        <w:rPr>
          <w:rStyle w:val="FontStyle16"/>
          <w:b w:val="0"/>
          <w:bCs w:val="0"/>
          <w:i/>
          <w:iCs/>
        </w:rPr>
        <w:t xml:space="preserve"> по време на строителството </w:t>
      </w:r>
      <w:r w:rsidRPr="00653064">
        <w:rPr>
          <w:rStyle w:val="FontStyle16"/>
          <w:b w:val="0"/>
          <w:bCs w:val="0"/>
          <w:i/>
          <w:iCs/>
        </w:rPr>
        <w:t xml:space="preserve">и по време на експлоатацията на </w:t>
      </w:r>
      <w:r>
        <w:rPr>
          <w:rStyle w:val="FontStyle16"/>
          <w:b w:val="0"/>
          <w:bCs w:val="0"/>
          <w:i/>
          <w:iCs/>
        </w:rPr>
        <w:t>ПСПВ</w:t>
      </w:r>
      <w:r w:rsidRPr="00653064">
        <w:rPr>
          <w:rStyle w:val="FontStyle16"/>
          <w:b w:val="0"/>
          <w:bCs w:val="0"/>
          <w:i/>
          <w:iCs/>
        </w:rPr>
        <w:t>;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  <w:r w:rsidRPr="00653064">
        <w:rPr>
          <w:rStyle w:val="FontStyle16"/>
          <w:b w:val="0"/>
          <w:bCs w:val="0"/>
          <w:i/>
          <w:iCs/>
        </w:rPr>
        <w:t>-техническа обезпеченост и методика на текущ качествен контрол, гаранции за доставеното оборудване, обучение на персонала и надеждна експлоатация на ПС</w:t>
      </w:r>
      <w:r>
        <w:rPr>
          <w:rStyle w:val="FontStyle16"/>
          <w:b w:val="0"/>
          <w:bCs w:val="0"/>
          <w:i/>
          <w:iCs/>
        </w:rPr>
        <w:t>П</w:t>
      </w:r>
      <w:r w:rsidRPr="00653064">
        <w:rPr>
          <w:rStyle w:val="FontStyle16"/>
          <w:b w:val="0"/>
          <w:bCs w:val="0"/>
          <w:i/>
          <w:iCs/>
        </w:rPr>
        <w:t>В;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  <w:r w:rsidRPr="00653064">
        <w:rPr>
          <w:rStyle w:val="FontStyle16"/>
          <w:b w:val="0"/>
          <w:bCs w:val="0"/>
          <w:i/>
          <w:iCs/>
        </w:rPr>
        <w:t>-предвидимост и готовност за преодоляване на критични и рискови ситуации в етапа на изпълнение /проектиране, доставка, строителство/, провеждане на комплексните изпитания и по време на отстраняване на дефектите;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  <w:r w:rsidRPr="00653064">
        <w:rPr>
          <w:rStyle w:val="FontStyle16"/>
          <w:b w:val="0"/>
          <w:bCs w:val="0"/>
          <w:i/>
          <w:iCs/>
        </w:rPr>
        <w:t>-доказателства за изпълнение на поетите гаранции.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  <w:r w:rsidRPr="00653064">
        <w:rPr>
          <w:rStyle w:val="FontStyle16"/>
          <w:b w:val="0"/>
          <w:bCs w:val="0"/>
          <w:i/>
          <w:iCs/>
        </w:rPr>
        <w:t>Участниците представят и комисията оценява цялостна концепция за изпълнение на проекта.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</w:rPr>
        <w:t xml:space="preserve">Техническата оценка на </w:t>
      </w:r>
      <w:r>
        <w:rPr>
          <w:rStyle w:val="FontStyle16"/>
        </w:rPr>
        <w:t>предложението</w:t>
      </w:r>
      <w:r w:rsidRPr="00653064">
        <w:rPr>
          <w:rStyle w:val="FontStyle16"/>
        </w:rPr>
        <w:t xml:space="preserve"> за изпълнение на проекта се определя по следната формула:</w:t>
      </w:r>
    </w:p>
    <w:p w:rsidR="00CE3DE6" w:rsidRPr="00653064" w:rsidRDefault="00CE3DE6" w:rsidP="00041A7B">
      <w:pPr>
        <w:ind w:firstLine="567"/>
        <w:jc w:val="both"/>
        <w:rPr>
          <w:rStyle w:val="FontStyle16"/>
        </w:rPr>
      </w:pPr>
      <w:r w:rsidRPr="00653064">
        <w:rPr>
          <w:rStyle w:val="FontStyle16"/>
        </w:rPr>
        <w:t xml:space="preserve">TО = (40 % х Сс) + (60% х Оп) 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</w:rPr>
        <w:t>където: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 xml:space="preserve">Сс е оценката за себестойност на пречистената вода, получена съгласно </w:t>
      </w:r>
      <w:r w:rsidRPr="00653064">
        <w:rPr>
          <w:rStyle w:val="FontStyle16"/>
          <w:b w:val="0"/>
          <w:bCs w:val="0"/>
          <w:i/>
          <w:iCs/>
        </w:rPr>
        <w:t xml:space="preserve">Приложение </w:t>
      </w:r>
      <w:r>
        <w:rPr>
          <w:rStyle w:val="FontStyle16"/>
          <w:b w:val="0"/>
          <w:bCs w:val="0"/>
          <w:i/>
          <w:iCs/>
        </w:rPr>
        <w:t xml:space="preserve">1 към </w:t>
      </w:r>
      <w:r w:rsidRPr="00653064">
        <w:rPr>
          <w:rStyle w:val="FontStyle16"/>
          <w:b w:val="0"/>
          <w:bCs w:val="0"/>
          <w:i/>
          <w:iCs/>
        </w:rPr>
        <w:t xml:space="preserve">Образец </w:t>
      </w:r>
      <w:r>
        <w:rPr>
          <w:rStyle w:val="FontStyle16"/>
          <w:b w:val="0"/>
          <w:bCs w:val="0"/>
          <w:i/>
          <w:iCs/>
        </w:rPr>
        <w:t>13</w:t>
      </w:r>
      <w:r w:rsidRPr="00653064">
        <w:rPr>
          <w:rStyle w:val="FontStyle16"/>
          <w:b w:val="0"/>
          <w:bCs w:val="0"/>
        </w:rPr>
        <w:t>. Тежестта на този показател е 40%.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 xml:space="preserve">Оп е оценката на програмата за изпълнение на съответния участник, представено в </w:t>
      </w:r>
      <w:r w:rsidRPr="00653064">
        <w:rPr>
          <w:rStyle w:val="FontStyle16"/>
          <w:b w:val="0"/>
          <w:bCs w:val="0"/>
          <w:i/>
          <w:iCs/>
        </w:rPr>
        <w:t xml:space="preserve">Образец № </w:t>
      </w:r>
      <w:r>
        <w:rPr>
          <w:rStyle w:val="FontStyle16"/>
          <w:b w:val="0"/>
          <w:bCs w:val="0"/>
          <w:i/>
          <w:iCs/>
        </w:rPr>
        <w:t>13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</w:rPr>
        <w:t>Тежестта на този показател е 60 %.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</w:p>
    <w:p w:rsidR="00CE3DE6" w:rsidRPr="00653064" w:rsidRDefault="00CE3DE6" w:rsidP="00041A7B">
      <w:pPr>
        <w:ind w:firstLine="567"/>
        <w:jc w:val="both"/>
        <w:rPr>
          <w:rStyle w:val="FontStyle16"/>
          <w:i/>
          <w:iCs/>
        </w:rPr>
      </w:pPr>
      <w:r w:rsidRPr="00653064">
        <w:rPr>
          <w:rStyle w:val="FontStyle16"/>
        </w:rPr>
        <w:t>Сс</w:t>
      </w:r>
      <w:r w:rsidRPr="00653064">
        <w:rPr>
          <w:rStyle w:val="FontStyle16"/>
          <w:i/>
          <w:iCs/>
        </w:rPr>
        <w:t xml:space="preserve">. </w:t>
      </w:r>
      <w:r w:rsidRPr="00653064">
        <w:rPr>
          <w:rStyle w:val="FontStyle16"/>
          <w:u w:val="single"/>
        </w:rPr>
        <w:t>Оценката за предложената себестойност на пречистената вода</w:t>
      </w:r>
      <w:r w:rsidRPr="00653064">
        <w:rPr>
          <w:rStyle w:val="FontStyle16"/>
          <w:i/>
          <w:iCs/>
        </w:rPr>
        <w:t xml:space="preserve"> се определя по следния начин:</w:t>
      </w:r>
    </w:p>
    <w:p w:rsidR="00CE3DE6" w:rsidRPr="00653064" w:rsidRDefault="00CE3DE6" w:rsidP="00041A7B">
      <w:pPr>
        <w:ind w:firstLine="567"/>
        <w:jc w:val="both"/>
        <w:rPr>
          <w:rStyle w:val="FontStyle16"/>
        </w:rPr>
      </w:pPr>
      <w:r w:rsidRPr="00653064">
        <w:rPr>
          <w:rStyle w:val="FontStyle16"/>
        </w:rPr>
        <w:t>Сс = (Сс мин / Сс участник) х 10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Ссмин е най-ниска</w:t>
      </w:r>
      <w:r>
        <w:rPr>
          <w:rStyle w:val="FontStyle16"/>
          <w:b w:val="0"/>
          <w:bCs w:val="0"/>
        </w:rPr>
        <w:t>та</w:t>
      </w:r>
      <w:r w:rsidRPr="00653064">
        <w:rPr>
          <w:rStyle w:val="FontStyle16"/>
          <w:b w:val="0"/>
          <w:bCs w:val="0"/>
        </w:rPr>
        <w:t xml:space="preserve"> себестойност, предложена в настоящата процедура; 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Сс участник е предложената себестойност от съответния участник.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lastRenderedPageBreak/>
        <w:t xml:space="preserve">Предложената себестойност на пречистената вода е съгласно </w:t>
      </w:r>
      <w:r w:rsidRPr="00653064">
        <w:rPr>
          <w:rStyle w:val="FontStyle16"/>
          <w:b w:val="0"/>
          <w:bCs w:val="0"/>
          <w:i/>
          <w:iCs/>
        </w:rPr>
        <w:t xml:space="preserve">Приложение </w:t>
      </w:r>
      <w:r>
        <w:rPr>
          <w:rStyle w:val="FontStyle16"/>
          <w:b w:val="0"/>
          <w:bCs w:val="0"/>
          <w:i/>
          <w:iCs/>
        </w:rPr>
        <w:t xml:space="preserve">1 към </w:t>
      </w:r>
      <w:r w:rsidRPr="00653064">
        <w:rPr>
          <w:rStyle w:val="FontStyle16"/>
          <w:b w:val="0"/>
          <w:bCs w:val="0"/>
          <w:i/>
          <w:iCs/>
        </w:rPr>
        <w:t xml:space="preserve">Образец </w:t>
      </w:r>
      <w:r>
        <w:rPr>
          <w:rStyle w:val="FontStyle16"/>
          <w:b w:val="0"/>
          <w:bCs w:val="0"/>
          <w:i/>
          <w:iCs/>
        </w:rPr>
        <w:t>13</w:t>
      </w:r>
      <w:r w:rsidRPr="00653064">
        <w:rPr>
          <w:rStyle w:val="FontStyle16"/>
          <w:b w:val="0"/>
          <w:bCs w:val="0"/>
        </w:rPr>
        <w:t xml:space="preserve"> и се проверява от членовете на комисията за всеки един от участниците поотделно.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</w:rPr>
        <w:t>Максималният брой точки, който може да се определи на всеки участник по този показател е 10.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Всички изчисления се закръгляват до третия знак след десетичната запетая.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Председателят на комисията попълва Оценителен лист за техническата оценка на всички участници. Оценителният лист се подписва от всички членове на комисията.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</w:p>
    <w:p w:rsidR="00CE3DE6" w:rsidRPr="00653064" w:rsidRDefault="00CE3DE6" w:rsidP="00041A7B">
      <w:pPr>
        <w:ind w:firstLine="567"/>
        <w:jc w:val="both"/>
        <w:rPr>
          <w:rStyle w:val="FontStyle16"/>
          <w:i/>
          <w:iCs/>
        </w:rPr>
      </w:pPr>
      <w:r w:rsidRPr="00653064">
        <w:rPr>
          <w:rStyle w:val="FontStyle16"/>
        </w:rPr>
        <w:t>Оп</w:t>
      </w:r>
      <w:r w:rsidRPr="00653064">
        <w:rPr>
          <w:rStyle w:val="FontStyle16"/>
          <w:i/>
          <w:iCs/>
        </w:rPr>
        <w:t xml:space="preserve">. </w:t>
      </w:r>
      <w:r w:rsidRPr="00653064">
        <w:rPr>
          <w:rStyle w:val="FontStyle16"/>
          <w:u w:val="single"/>
        </w:rPr>
        <w:t>Оценка на програмата за изпълнение</w:t>
      </w:r>
      <w:r w:rsidRPr="00653064">
        <w:rPr>
          <w:rStyle w:val="FontStyle16"/>
          <w:i/>
          <w:iCs/>
        </w:rPr>
        <w:t xml:space="preserve"> на съответния участник се определя по следния начин:</w:t>
      </w:r>
    </w:p>
    <w:p w:rsidR="00CE3DE6" w:rsidRPr="00653064" w:rsidRDefault="00CE3DE6" w:rsidP="00041A7B">
      <w:pPr>
        <w:ind w:firstLine="567"/>
        <w:jc w:val="both"/>
        <w:rPr>
          <w:rStyle w:val="FontStyle16"/>
        </w:rPr>
      </w:pPr>
      <w:r>
        <w:rPr>
          <w:rStyle w:val="FontStyle16"/>
        </w:rPr>
        <w:t>Оп =(7</w:t>
      </w:r>
      <w:r w:rsidRPr="00653064">
        <w:rPr>
          <w:rStyle w:val="FontStyle16"/>
        </w:rPr>
        <w:t>0 % х Ом) + (30% х Ор)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 xml:space="preserve">Ом е оценката на методологията за изпълнение в </w:t>
      </w:r>
      <w:r w:rsidRPr="00653064">
        <w:rPr>
          <w:rStyle w:val="FontStyle16"/>
          <w:b w:val="0"/>
          <w:bCs w:val="0"/>
          <w:i/>
          <w:iCs/>
        </w:rPr>
        <w:t xml:space="preserve">Образец № </w:t>
      </w:r>
      <w:r>
        <w:rPr>
          <w:rStyle w:val="FontStyle16"/>
          <w:b w:val="0"/>
          <w:bCs w:val="0"/>
          <w:i/>
          <w:iCs/>
        </w:rPr>
        <w:t>13</w:t>
      </w:r>
      <w:r w:rsidRPr="00653064">
        <w:rPr>
          <w:rStyle w:val="FontStyle16"/>
          <w:b w:val="0"/>
          <w:bCs w:val="0"/>
        </w:rPr>
        <w:t>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>
        <w:rPr>
          <w:rStyle w:val="FontStyle16"/>
          <w:b w:val="0"/>
          <w:bCs w:val="0"/>
        </w:rPr>
        <w:t>Тежестта на този показател - 7</w:t>
      </w:r>
      <w:r w:rsidRPr="00653064">
        <w:rPr>
          <w:rStyle w:val="FontStyle16"/>
          <w:b w:val="0"/>
          <w:bCs w:val="0"/>
        </w:rPr>
        <w:t>0 %.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  <w:r w:rsidRPr="00653064">
        <w:rPr>
          <w:rStyle w:val="FontStyle16"/>
          <w:b w:val="0"/>
          <w:bCs w:val="0"/>
        </w:rPr>
        <w:t xml:space="preserve">Ор е оценката на риска, представени от съответния участник в </w:t>
      </w:r>
      <w:r>
        <w:rPr>
          <w:rStyle w:val="FontStyle16"/>
          <w:b w:val="0"/>
          <w:bCs w:val="0"/>
          <w:i/>
          <w:iCs/>
        </w:rPr>
        <w:t>Образец № 13</w:t>
      </w:r>
      <w:r w:rsidRPr="00653064">
        <w:rPr>
          <w:rStyle w:val="FontStyle16"/>
          <w:b w:val="0"/>
          <w:bCs w:val="0"/>
          <w:i/>
          <w:iCs/>
        </w:rPr>
        <w:t>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Тежестта на този показател - 30 %.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</w:p>
    <w:p w:rsidR="00CE3DE6" w:rsidRPr="00653064" w:rsidRDefault="00CE3DE6" w:rsidP="00041A7B">
      <w:pPr>
        <w:ind w:firstLine="567"/>
        <w:jc w:val="both"/>
        <w:rPr>
          <w:rStyle w:val="FontStyle16"/>
          <w:i/>
          <w:iCs/>
        </w:rPr>
      </w:pPr>
      <w:r w:rsidRPr="00653064">
        <w:rPr>
          <w:rStyle w:val="FontStyle16"/>
        </w:rPr>
        <w:t>Ом</w:t>
      </w:r>
      <w:r w:rsidRPr="00653064">
        <w:rPr>
          <w:rStyle w:val="FontStyle16"/>
          <w:i/>
          <w:iCs/>
          <w:u w:val="single"/>
        </w:rPr>
        <w:t>. Оценка на методологията за изпълнение на проекта</w:t>
      </w:r>
    </w:p>
    <w:p w:rsidR="00CE3DE6" w:rsidRPr="00653064" w:rsidRDefault="00CE3DE6" w:rsidP="00041A7B">
      <w:pPr>
        <w:ind w:firstLine="567"/>
        <w:jc w:val="both"/>
        <w:rPr>
          <w:rStyle w:val="FontStyle16"/>
          <w:i/>
          <w:iCs/>
        </w:rPr>
      </w:pPr>
      <w:r w:rsidRPr="00653064">
        <w:rPr>
          <w:rStyle w:val="FontStyle16"/>
          <w:i/>
          <w:iCs/>
        </w:rPr>
        <w:t>Участника трябва да разработи методология за изпълнение на проекта, включваща но без да се ограничава до минимум следните организационни схеми за основните етапи: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  <w:r w:rsidRPr="00653064">
        <w:rPr>
          <w:rStyle w:val="FontStyle16"/>
          <w:i/>
          <w:iCs/>
        </w:rPr>
        <w:t>Организационна схема в етапа на изготвяне на техническия и работен проект, съгласно изискванията на техническите спецификации, дадени в тръжната документация.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 xml:space="preserve">Участникът трябва да опише своето виждане за организация в етапа на проектирането, като посочи проектните части съгласно спецификата на проекта и  Наредба №4 за обхвата и съдържанието на инвестиционните проекти, разпределението на екипа от проектанти по дейности и време, начина на комуникация с възложителя, срока за изработка на техническия и работен проект и неговото вписване в общия срок за изпълнение на проекта, ангажимента на участника в организацията по  съгласуване и утвърждаване от компетентните органи.  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  <w:r w:rsidRPr="00653064">
        <w:rPr>
          <w:rStyle w:val="FontStyle16"/>
          <w:i/>
          <w:iCs/>
        </w:rPr>
        <w:t>Организационна схема в етапа на доставка  на технологично оборудване съгласно проектното решение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 xml:space="preserve">Участникът трябва да опише последователността и разпределението във времето на  доставките на технологично оборудване, методите за контрол, които ще приложи за спазване на срока и гарантиране на качеството на доставките. 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  <w:r w:rsidRPr="00653064">
        <w:rPr>
          <w:rStyle w:val="FontStyle16"/>
          <w:i/>
          <w:iCs/>
        </w:rPr>
        <w:t xml:space="preserve">Организационна схема в етапа на строителство 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Участникът трябва да опише основните технологични етапи, начина на организация и управление на строителния процес, предвиждането си за технически и човешки ресурси, разпределението на механизацията и персонала в етапите на изпълнение.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  <w:r w:rsidRPr="00653064">
        <w:rPr>
          <w:rStyle w:val="FontStyle16"/>
          <w:i/>
          <w:iCs/>
        </w:rPr>
        <w:t xml:space="preserve">Организационна схема в етапа на въвеждане в експлоатация и постигане на проектните показатели </w:t>
      </w:r>
    </w:p>
    <w:p w:rsidR="00CE3DE6" w:rsidRPr="00210EBC" w:rsidRDefault="00CE3DE6" w:rsidP="00041A7B">
      <w:pPr>
        <w:ind w:firstLine="567"/>
        <w:jc w:val="both"/>
        <w:rPr>
          <w:rStyle w:val="FontStyle16"/>
          <w:b w:val="0"/>
          <w:bCs w:val="0"/>
          <w:lang w:val="ru-RU"/>
        </w:rPr>
      </w:pPr>
      <w:r w:rsidRPr="00653064">
        <w:rPr>
          <w:rStyle w:val="FontStyle16"/>
          <w:b w:val="0"/>
          <w:bCs w:val="0"/>
        </w:rPr>
        <w:t>Участникът трябва да опише последователност на работите за провеждане на изпитанията след завършване на обекта</w:t>
      </w:r>
      <w:r w:rsidRPr="00192D1F">
        <w:rPr>
          <w:rStyle w:val="FontStyle16"/>
          <w:b w:val="0"/>
          <w:bCs w:val="0"/>
          <w:lang w:val="ru-RU"/>
        </w:rPr>
        <w:t xml:space="preserve">, </w:t>
      </w:r>
      <w:r>
        <w:rPr>
          <w:rStyle w:val="FontStyle16"/>
          <w:b w:val="0"/>
          <w:bCs w:val="0"/>
        </w:rPr>
        <w:t>включително пусковите работи и настройки на технологичните процеси и автоматизираната система за управление. Участникът трябва да представи техническа обосновка</w:t>
      </w:r>
      <w:r w:rsidRPr="00653064">
        <w:rPr>
          <w:rStyle w:val="FontStyle16"/>
          <w:b w:val="0"/>
          <w:bCs w:val="0"/>
        </w:rPr>
        <w:t xml:space="preserve"> за  доказване на проектните показатели като качество на пречистената вода, количество реагенти и консумираното електричество за единица пречистена вода, степен на автоматизация, контрол и управление. </w:t>
      </w:r>
    </w:p>
    <w:p w:rsidR="00CE3DE6" w:rsidRPr="00210EBC" w:rsidRDefault="00CE3DE6" w:rsidP="00210EBC">
      <w:pPr>
        <w:tabs>
          <w:tab w:val="left" w:pos="9600"/>
        </w:tabs>
        <w:ind w:right="62" w:firstLine="567"/>
        <w:jc w:val="both"/>
        <w:rPr>
          <w:highlight w:val="yellow"/>
        </w:rPr>
      </w:pPr>
      <w:r w:rsidRPr="00210EBC">
        <w:rPr>
          <w:rStyle w:val="FontStyle16"/>
          <w:b w:val="0"/>
          <w:bCs w:val="0"/>
          <w:lang w:val="ru-RU"/>
        </w:rPr>
        <w:t>Линейният график за изпълнението на СМР трябва да се изготви по подобекти и участъци, имайки предвид сроковете и задълженията за съгласуване в съответствие с изискванията в Техническата спецификация. От него трябва да личат междинните срокове за завършване на отделните подобекти и участъци от работите. Графикът трябва да включва времето за изпълнение, последователността на отделните операции и дейности, взаимна обвързаност между отделните етапи и да демонстрира умението да се организира изпълнението на СМР в рамките на поставените крайни срокове, при минимални усложнения.</w:t>
      </w:r>
    </w:p>
    <w:p w:rsidR="00CE3DE6" w:rsidRDefault="00CE3DE6" w:rsidP="00210EBC">
      <w:pPr>
        <w:tabs>
          <w:tab w:val="left" w:pos="9600"/>
        </w:tabs>
        <w:ind w:right="62" w:firstLine="567"/>
        <w:jc w:val="both"/>
      </w:pPr>
      <w:r w:rsidRPr="00210EBC">
        <w:rPr>
          <w:rStyle w:val="FontStyle16"/>
          <w:b w:val="0"/>
          <w:bCs w:val="0"/>
        </w:rPr>
        <w:t xml:space="preserve">Дейностите в </w:t>
      </w:r>
      <w:r w:rsidRPr="00210EBC">
        <w:rPr>
          <w:rStyle w:val="FontStyle16"/>
          <w:b w:val="0"/>
          <w:bCs w:val="0"/>
          <w:lang w:val="ru-RU"/>
        </w:rPr>
        <w:t xml:space="preserve">Линейния график </w:t>
      </w:r>
      <w:r w:rsidRPr="00210EBC">
        <w:rPr>
          <w:rStyle w:val="FontStyle16"/>
          <w:b w:val="0"/>
          <w:bCs w:val="0"/>
        </w:rPr>
        <w:t>подлежат на последващо съгласуване със законоустановените органи след подписване на договора за изпълнение</w:t>
      </w:r>
      <w:r w:rsidRPr="00210EBC">
        <w:rPr>
          <w:rStyle w:val="FontStyle16"/>
          <w:b w:val="0"/>
          <w:bCs w:val="0"/>
          <w:lang w:val="ru-RU"/>
        </w:rPr>
        <w:t>.</w:t>
      </w:r>
    </w:p>
    <w:p w:rsidR="00CE3DE6" w:rsidRPr="00210EBC" w:rsidRDefault="00CE3DE6" w:rsidP="00041A7B">
      <w:pPr>
        <w:ind w:firstLine="567"/>
        <w:jc w:val="both"/>
        <w:rPr>
          <w:rStyle w:val="FontStyle16"/>
          <w:b w:val="0"/>
          <w:bCs w:val="0"/>
        </w:rPr>
      </w:pP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</w:rPr>
        <w:t xml:space="preserve">  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</w:rPr>
        <w:t>Максималният брой точки, който може да се определи на всеки участник по този показател е 10, определени както следва: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  <w:r w:rsidRPr="00653064">
        <w:rPr>
          <w:rStyle w:val="FontStyle16"/>
          <w:b w:val="0"/>
          <w:bCs w:val="0"/>
        </w:rPr>
        <w:t>- В представената от участника методология за изпълнение на проекта  е представено подробно и задълбочено описание на изискващите се от възложителя организационни схеми. Правилно са определени и съобразени със спецификата на проекта и нормативната уредба. Предвидените срокове  за изработка на техническия и работен проект и за  съгласуване на проекта с компетентните органи са реалистични, взаимно обвързани, вписват се в общия срок за изпълнение и са предпоставка за навременно стартиране и изпълнение на ПС</w:t>
      </w:r>
      <w:r>
        <w:rPr>
          <w:rStyle w:val="FontStyle16"/>
          <w:b w:val="0"/>
          <w:bCs w:val="0"/>
        </w:rPr>
        <w:t>П</w:t>
      </w:r>
      <w:r w:rsidRPr="00653064">
        <w:rPr>
          <w:rStyle w:val="FontStyle16"/>
          <w:b w:val="0"/>
          <w:bCs w:val="0"/>
        </w:rPr>
        <w:t>В.  Описаните начини и срокове на доставка на технологичното оборудване са аргументирано обвързани с организационната схема за строителството. Методите за контрол са правилно формулирани и планирани в периода на производство на оборудването. Ангажиментите по доставка, съхранение, монтаж и пуск на оборудването са правилно оценени, подробно описани и гарантират качественото изпълнение на проекта. Организационният план правилно формулира и проследява технологичните етапи за изпълнение на строителство</w:t>
      </w:r>
      <w:r>
        <w:rPr>
          <w:rStyle w:val="FontStyle16"/>
          <w:b w:val="0"/>
          <w:bCs w:val="0"/>
        </w:rPr>
        <w:t>то</w:t>
      </w:r>
      <w:r w:rsidRPr="00653064">
        <w:rPr>
          <w:rStyle w:val="FontStyle16"/>
          <w:b w:val="0"/>
          <w:bCs w:val="0"/>
        </w:rPr>
        <w:t xml:space="preserve">. Описаните технически и човешки ресурси и тяхното разположение във времето кореспондират с етапите на изпълнение на дейностите и гарантират успешното изпълнение на проекта. Правилно са планирани дейностите, документалното и кадрово обезпечаване в  периода на изпитания за доказване на проектните показатели - </w:t>
      </w:r>
      <w:r>
        <w:rPr>
          <w:rStyle w:val="FontStyle16"/>
          <w:b w:val="0"/>
          <w:bCs w:val="0"/>
          <w:i/>
          <w:iCs/>
        </w:rPr>
        <w:t xml:space="preserve">участникът получава  </w:t>
      </w:r>
      <w:r w:rsidRPr="00653064">
        <w:rPr>
          <w:rStyle w:val="FontStyle16"/>
          <w:b w:val="0"/>
          <w:bCs w:val="0"/>
          <w:i/>
          <w:iCs/>
        </w:rPr>
        <w:t xml:space="preserve"> 10 т.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</w:p>
    <w:p w:rsidR="00CE3DE6" w:rsidRPr="00401C3C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  <w:lang w:val="ru-RU"/>
        </w:rPr>
      </w:pPr>
      <w:r w:rsidRPr="00653064">
        <w:rPr>
          <w:rStyle w:val="FontStyle16"/>
          <w:b w:val="0"/>
          <w:bCs w:val="0"/>
        </w:rPr>
        <w:t xml:space="preserve">-В представената от участника методология  за изпълнение на проекта фигурират посочените за разработка </w:t>
      </w:r>
      <w:r>
        <w:rPr>
          <w:rStyle w:val="FontStyle16"/>
          <w:b w:val="0"/>
          <w:bCs w:val="0"/>
        </w:rPr>
        <w:t>отдел</w:t>
      </w:r>
      <w:r w:rsidRPr="00653064">
        <w:rPr>
          <w:rStyle w:val="FontStyle16"/>
          <w:b w:val="0"/>
          <w:bCs w:val="0"/>
        </w:rPr>
        <w:t xml:space="preserve">ени позиции, включващи етапа на проектиране, доставка на оборудване, строителство и въвеждане в експлоатация. Участника описва необходимите проектни части, изискващи се от спецификата на проекта,  представя разпределението на проектантския екип и е посочил сроковете за проектиране и съгласуване, но представената разработка и нейната обвързаност с цялостното изпълнение на проекта не дава сигурност на възложителя за качественото и своевременно изпълнение. Доставката на оборудването не съвпада с някои основни етапи от организационната схема за строителството. Методите за контрол са или неправилно формулирани или неправилно планирани в периода на производство на оборудването. Описаните ангажименти по доставка, съхранение, монтаж и пуск на оборудването не гарантират качеството на изпълнение. Има пропуски в  описаното ресурсно, или документално или кадрово обезпечаване в периода на изпитания за доказване на проектните показатели.   Разработката на методологията показва незадълбочено и недостатъчно познаване на проекта и специфичните изисквания за неговата реализация - </w:t>
      </w:r>
      <w:r w:rsidRPr="00653064">
        <w:rPr>
          <w:rStyle w:val="FontStyle16"/>
          <w:b w:val="0"/>
          <w:bCs w:val="0"/>
          <w:i/>
          <w:iCs/>
        </w:rPr>
        <w:t>уча</w:t>
      </w:r>
      <w:r>
        <w:rPr>
          <w:rStyle w:val="FontStyle16"/>
          <w:b w:val="0"/>
          <w:bCs w:val="0"/>
          <w:i/>
          <w:iCs/>
        </w:rPr>
        <w:t xml:space="preserve">стникът получава </w:t>
      </w:r>
      <w:r w:rsidRPr="00401C3C">
        <w:rPr>
          <w:rStyle w:val="FontStyle16"/>
          <w:b w:val="0"/>
          <w:bCs w:val="0"/>
          <w:i/>
          <w:iCs/>
          <w:lang w:val="ru-RU"/>
        </w:rPr>
        <w:t xml:space="preserve"> </w:t>
      </w:r>
      <w:r>
        <w:rPr>
          <w:rStyle w:val="FontStyle16"/>
          <w:b w:val="0"/>
          <w:bCs w:val="0"/>
          <w:i/>
          <w:iCs/>
        </w:rPr>
        <w:t xml:space="preserve"> 4 т.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 xml:space="preserve">-В представената от участника методология се отчита слабо познаване на спецификата на проекта, посочени са нереалистични срокове за изработка на техническия и работен проект или за неговото съгласуване. Посочената последователност и разпределение, тяхната обвързаност с организационната схема за изпълнение на строителството, описаните методи за контрол не гарантират срочно и качествено изпълнение, съществуват пропуски и непълноти. Организационният план не формулира всички технологичните етапи, съгласно изискванията на техническите спецификации, представената разработка и не гарантира работата на съществуващите съоръжения за пречистване на водите и третиране на утайките по време на строителството. Неточно формулирано и определено ресурсно, документално и кадрово обезпечаване в периода на изпитания за доказване на проектните показатели - </w:t>
      </w:r>
      <w:r w:rsidRPr="00653064">
        <w:rPr>
          <w:rStyle w:val="FontStyle16"/>
          <w:b w:val="0"/>
          <w:bCs w:val="0"/>
          <w:i/>
          <w:iCs/>
        </w:rPr>
        <w:t>уч</w:t>
      </w:r>
      <w:r w:rsidR="00DD7198">
        <w:rPr>
          <w:rStyle w:val="FontStyle16"/>
          <w:b w:val="0"/>
          <w:bCs w:val="0"/>
          <w:i/>
          <w:iCs/>
        </w:rPr>
        <w:t>астникът получава  1</w:t>
      </w:r>
      <w:r>
        <w:rPr>
          <w:rStyle w:val="FontStyle16"/>
          <w:b w:val="0"/>
          <w:bCs w:val="0"/>
          <w:i/>
          <w:iCs/>
        </w:rPr>
        <w:t xml:space="preserve"> т.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</w:p>
    <w:p w:rsidR="00CE3DE6" w:rsidRPr="00653064" w:rsidRDefault="00CE3DE6" w:rsidP="00041A7B">
      <w:pPr>
        <w:ind w:firstLine="567"/>
        <w:jc w:val="both"/>
        <w:rPr>
          <w:rStyle w:val="FontStyle16"/>
          <w:i/>
          <w:iCs/>
        </w:rPr>
      </w:pPr>
      <w:r w:rsidRPr="00653064">
        <w:rPr>
          <w:rStyle w:val="FontStyle16"/>
        </w:rPr>
        <w:t>Ор</w:t>
      </w:r>
      <w:r w:rsidRPr="00653064">
        <w:rPr>
          <w:rStyle w:val="FontStyle16"/>
          <w:i/>
          <w:iCs/>
        </w:rPr>
        <w:t xml:space="preserve">.   </w:t>
      </w:r>
      <w:r w:rsidRPr="00782E44">
        <w:rPr>
          <w:rStyle w:val="FontStyle16"/>
          <w:i/>
          <w:iCs/>
          <w:u w:val="single"/>
          <w:lang w:val="ru-RU"/>
        </w:rPr>
        <w:t xml:space="preserve">Оценка на анализа </w:t>
      </w:r>
      <w:r w:rsidRPr="00653064">
        <w:rPr>
          <w:rStyle w:val="FontStyle16"/>
          <w:i/>
          <w:iCs/>
          <w:u w:val="single"/>
        </w:rPr>
        <w:t>на риска</w:t>
      </w:r>
      <w:r w:rsidRPr="00653064">
        <w:rPr>
          <w:rStyle w:val="FontStyle16"/>
          <w:i/>
          <w:iCs/>
        </w:rPr>
        <w:t xml:space="preserve"> представени от съответния участник </w:t>
      </w:r>
    </w:p>
    <w:p w:rsidR="00CE3DE6" w:rsidRPr="00653064" w:rsidRDefault="00CE3DE6" w:rsidP="00041A7B">
      <w:pPr>
        <w:ind w:firstLine="567"/>
        <w:jc w:val="both"/>
        <w:rPr>
          <w:rStyle w:val="FontStyle16"/>
          <w:i/>
          <w:iCs/>
        </w:rPr>
      </w:pPr>
      <w:r w:rsidRPr="00653064">
        <w:rPr>
          <w:rStyle w:val="FontStyle16"/>
          <w:i/>
          <w:iCs/>
        </w:rPr>
        <w:t xml:space="preserve">Участникът трябва да представи виждането си за възможните рискови фактори, които биха повлияли за успешното реализиране на проекта, като ги идентифицира,  </w:t>
      </w:r>
      <w:r w:rsidRPr="00653064">
        <w:rPr>
          <w:rStyle w:val="FontStyle16"/>
          <w:i/>
          <w:iCs/>
        </w:rPr>
        <w:lastRenderedPageBreak/>
        <w:t>степенува по важност и оцени вероятността и въздействието им. Участникът трябва да представи конкретни мерки за управление на риска.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В анализа  да  разгледа, като  не се ограничава само до: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Неспазване срока за проектиране, съгласуване и получаване на разрешение за строителство.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Забава в срока и неспазване графика за изработка и доставка на технологичното оборудване.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Сериозно изоставане в изпълнението  на СМР на ПС</w:t>
      </w:r>
      <w:r>
        <w:rPr>
          <w:rStyle w:val="FontStyle16"/>
          <w:b w:val="0"/>
          <w:bCs w:val="0"/>
        </w:rPr>
        <w:t>П</w:t>
      </w:r>
      <w:r w:rsidRPr="00653064">
        <w:rPr>
          <w:rStyle w:val="FontStyle16"/>
          <w:b w:val="0"/>
          <w:bCs w:val="0"/>
        </w:rPr>
        <w:t>В.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Преразход на материален и/или финансов ресурс в хода на изпълнение на проекта.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Неуспешни единични или комплексни изпитания на ПС</w:t>
      </w:r>
      <w:r>
        <w:rPr>
          <w:rStyle w:val="FontStyle16"/>
          <w:b w:val="0"/>
          <w:bCs w:val="0"/>
        </w:rPr>
        <w:t>П</w:t>
      </w:r>
      <w:r w:rsidRPr="00653064">
        <w:rPr>
          <w:rStyle w:val="FontStyle16"/>
          <w:b w:val="0"/>
          <w:bCs w:val="0"/>
        </w:rPr>
        <w:t>В</w:t>
      </w:r>
      <w:r w:rsidRPr="00782E44">
        <w:rPr>
          <w:rStyle w:val="FontStyle16"/>
          <w:b w:val="0"/>
          <w:bCs w:val="0"/>
          <w:lang w:val="ru-RU"/>
        </w:rPr>
        <w:t xml:space="preserve"> </w:t>
      </w:r>
      <w:r w:rsidRPr="00653064">
        <w:rPr>
          <w:rStyle w:val="FontStyle16"/>
          <w:b w:val="0"/>
          <w:bCs w:val="0"/>
        </w:rPr>
        <w:t>(не постигане на проектните показатели)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Констатирани сериозни нарушения по Наредба №2 за БЗУТ довели до временно спиране работата на обекта.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</w:rPr>
        <w:t>Максималният брой точки, който може да се определи на всеки участник по този показател е 10, определени както следва: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 xml:space="preserve">-Анализа на риска е обстоен, като са идентифицирани и правилно оценени освен изброените по-горе  и  допълнителни  вероятни рискови фактори според преценката на участника. Предвидените мерки за управление на риска са правилно  планирани, адекватно формулирани и  гарантират изпълнение на целите на проекта - </w:t>
      </w:r>
      <w:r>
        <w:rPr>
          <w:rStyle w:val="FontStyle16"/>
          <w:b w:val="0"/>
          <w:bCs w:val="0"/>
          <w:i/>
          <w:iCs/>
        </w:rPr>
        <w:t xml:space="preserve">участникът получава </w:t>
      </w:r>
      <w:r w:rsidRPr="00653064">
        <w:rPr>
          <w:rStyle w:val="FontStyle16"/>
          <w:b w:val="0"/>
          <w:bCs w:val="0"/>
          <w:i/>
          <w:iCs/>
        </w:rPr>
        <w:t xml:space="preserve"> 10 т</w:t>
      </w:r>
      <w:r>
        <w:rPr>
          <w:rStyle w:val="FontStyle16"/>
          <w:b w:val="0"/>
          <w:bCs w:val="0"/>
          <w:i/>
          <w:iCs/>
        </w:rPr>
        <w:t>.</w:t>
      </w:r>
      <w:r w:rsidRPr="00653064">
        <w:rPr>
          <w:rStyle w:val="FontStyle16"/>
          <w:b w:val="0"/>
          <w:bCs w:val="0"/>
          <w:i/>
          <w:iCs/>
        </w:rPr>
        <w:t>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 xml:space="preserve">-В обяснителната записка не е представено пълно и подробно описание на възможните рискови фактори, не е ясно влиянието им върху изпълнението на поръчката, конкретните мерки, които участникът предвижда за предотвратяването и преодоляването на риска при изпълнение на поръчката не гарантират качественото и своевременно изпълнение - </w:t>
      </w:r>
      <w:r>
        <w:rPr>
          <w:rStyle w:val="FontStyle16"/>
          <w:b w:val="0"/>
          <w:bCs w:val="0"/>
          <w:i/>
          <w:iCs/>
        </w:rPr>
        <w:t xml:space="preserve">участникът получава  </w:t>
      </w:r>
      <w:r w:rsidRPr="00653064">
        <w:rPr>
          <w:rStyle w:val="FontStyle16"/>
          <w:b w:val="0"/>
          <w:bCs w:val="0"/>
          <w:i/>
          <w:iCs/>
        </w:rPr>
        <w:t xml:space="preserve"> 5 т.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</w:p>
    <w:p w:rsidR="00CE3DE6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  <w:r w:rsidRPr="00653064">
        <w:rPr>
          <w:rStyle w:val="FontStyle16"/>
          <w:b w:val="0"/>
          <w:bCs w:val="0"/>
        </w:rPr>
        <w:t xml:space="preserve">-В обяснителната записка е представено, повърхностно и неясно описание на възможните рискови фактори, влиянието им върху изпълнението на поръчката, конкретните мерки, които участникът предвижда за предотвратяването и преодоляването на риска при изпълнение на поръчката са формално описани, не са съобразени с характера и спецификата на проекта - </w:t>
      </w:r>
      <w:r>
        <w:rPr>
          <w:rStyle w:val="FontStyle16"/>
          <w:b w:val="0"/>
          <w:bCs w:val="0"/>
          <w:i/>
          <w:iCs/>
        </w:rPr>
        <w:t xml:space="preserve">участникът получава </w:t>
      </w:r>
      <w:r w:rsidRPr="00653064">
        <w:rPr>
          <w:rStyle w:val="FontStyle16"/>
          <w:b w:val="0"/>
          <w:bCs w:val="0"/>
          <w:i/>
          <w:iCs/>
        </w:rPr>
        <w:t xml:space="preserve"> </w:t>
      </w:r>
      <w:r w:rsidR="00DD7198">
        <w:rPr>
          <w:rStyle w:val="FontStyle16"/>
          <w:b w:val="0"/>
          <w:bCs w:val="0"/>
          <w:i/>
          <w:iCs/>
        </w:rPr>
        <w:t xml:space="preserve">1 </w:t>
      </w:r>
      <w:r w:rsidRPr="00653064">
        <w:rPr>
          <w:rStyle w:val="FontStyle16"/>
          <w:b w:val="0"/>
          <w:bCs w:val="0"/>
          <w:i/>
          <w:iCs/>
        </w:rPr>
        <w:t>т.</w:t>
      </w:r>
    </w:p>
    <w:p w:rsidR="00CE3DE6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</w:p>
    <w:p w:rsidR="00CE3DE6" w:rsidRDefault="00CE3DE6" w:rsidP="00A26BB2">
      <w:pPr>
        <w:ind w:firstLine="567"/>
        <w:jc w:val="both"/>
        <w:rPr>
          <w:rStyle w:val="FontStyle16"/>
          <w:b w:val="0"/>
          <w:bCs w:val="0"/>
        </w:rPr>
      </w:pPr>
    </w:p>
    <w:p w:rsidR="00CE3DE6" w:rsidRDefault="00CE3DE6" w:rsidP="00A26BB2">
      <w:pPr>
        <w:ind w:firstLine="567"/>
        <w:jc w:val="both"/>
        <w:rPr>
          <w:rStyle w:val="FontStyle16"/>
          <w:b w:val="0"/>
          <w:bCs w:val="0"/>
          <w:i/>
          <w:iCs/>
        </w:rPr>
      </w:pPr>
      <w:r>
        <w:rPr>
          <w:rStyle w:val="FontStyle16"/>
          <w:i/>
          <w:iCs/>
        </w:rPr>
        <w:t>Забележка:</w:t>
      </w:r>
    </w:p>
    <w:p w:rsidR="00CE3DE6" w:rsidRDefault="00CE3DE6" w:rsidP="00A26BB2">
      <w:pPr>
        <w:numPr>
          <w:ilvl w:val="0"/>
          <w:numId w:val="23"/>
        </w:numPr>
        <w:ind w:left="0" w:firstLine="284"/>
        <w:jc w:val="both"/>
        <w:rPr>
          <w:i/>
          <w:iCs/>
          <w:sz w:val="20"/>
          <w:szCs w:val="20"/>
        </w:rPr>
      </w:pPr>
      <w:r w:rsidRPr="00CA405F">
        <w:rPr>
          <w:i/>
          <w:iCs/>
          <w:sz w:val="20"/>
          <w:szCs w:val="20"/>
        </w:rPr>
        <w:t>„Подробно</w:t>
      </w:r>
      <w:r>
        <w:rPr>
          <w:i/>
          <w:iCs/>
          <w:sz w:val="20"/>
          <w:szCs w:val="20"/>
        </w:rPr>
        <w:t xml:space="preserve"> и задълбочено“ е </w:t>
      </w:r>
      <w:r w:rsidRPr="00CA405F">
        <w:rPr>
          <w:i/>
          <w:iCs/>
          <w:sz w:val="20"/>
          <w:szCs w:val="20"/>
        </w:rPr>
        <w:t xml:space="preserve"> описанието, което освен, че съдържа </w:t>
      </w:r>
      <w:r>
        <w:rPr>
          <w:i/>
          <w:iCs/>
          <w:sz w:val="20"/>
          <w:szCs w:val="20"/>
        </w:rPr>
        <w:t xml:space="preserve">всички изброени организационни схеми, </w:t>
      </w:r>
      <w:r w:rsidRPr="00CA405F">
        <w:rPr>
          <w:i/>
          <w:iCs/>
          <w:sz w:val="20"/>
          <w:szCs w:val="20"/>
        </w:rPr>
        <w:t>не се ограничава единствено до тяхното просто изброяване, а са добавени допълнителни поясняващи текстове, свързани с обясняване на последователността, технологията или други факти, имащи отношение към повишаване качеството на изпълнение на поръчката и надграждане над предвидените технически спецификации и изисквания;</w:t>
      </w:r>
    </w:p>
    <w:p w:rsidR="00CE3DE6" w:rsidRPr="00CA405F" w:rsidRDefault="00CE3DE6" w:rsidP="00A26BB2">
      <w:pPr>
        <w:numPr>
          <w:ilvl w:val="0"/>
          <w:numId w:val="23"/>
        </w:numPr>
        <w:ind w:left="0" w:firstLine="284"/>
        <w:jc w:val="both"/>
        <w:rPr>
          <w:i/>
          <w:iCs/>
          <w:sz w:val="20"/>
          <w:szCs w:val="20"/>
        </w:rPr>
      </w:pPr>
      <w:r w:rsidRPr="00CA405F">
        <w:rPr>
          <w:i/>
          <w:iCs/>
          <w:sz w:val="20"/>
          <w:szCs w:val="20"/>
        </w:rPr>
        <w:t>„Правилно”</w:t>
      </w:r>
      <w:r>
        <w:rPr>
          <w:i/>
          <w:iCs/>
          <w:sz w:val="20"/>
          <w:szCs w:val="20"/>
        </w:rPr>
        <w:t>е това, което не противоречи на у</w:t>
      </w:r>
      <w:r w:rsidRPr="00DA3F0F">
        <w:rPr>
          <w:i/>
          <w:iCs/>
          <w:sz w:val="20"/>
          <w:szCs w:val="20"/>
        </w:rPr>
        <w:t>становена закономерност,</w:t>
      </w:r>
      <w:r>
        <w:rPr>
          <w:i/>
          <w:iCs/>
          <w:sz w:val="20"/>
          <w:szCs w:val="20"/>
        </w:rPr>
        <w:t xml:space="preserve"> добрата строителна практика и не противоречи на българските</w:t>
      </w:r>
      <w:r w:rsidRPr="00DA3F0F">
        <w:rPr>
          <w:i/>
          <w:iCs/>
          <w:sz w:val="20"/>
          <w:szCs w:val="20"/>
        </w:rPr>
        <w:t xml:space="preserve"> норм</w:t>
      </w:r>
      <w:r>
        <w:rPr>
          <w:i/>
          <w:iCs/>
          <w:sz w:val="20"/>
          <w:szCs w:val="20"/>
        </w:rPr>
        <w:t>и</w:t>
      </w:r>
      <w:r w:rsidRPr="00DA3F0F">
        <w:rPr>
          <w:i/>
          <w:iCs/>
          <w:sz w:val="20"/>
          <w:szCs w:val="20"/>
        </w:rPr>
        <w:t xml:space="preserve">. </w:t>
      </w:r>
      <w:r>
        <w:rPr>
          <w:i/>
          <w:iCs/>
          <w:sz w:val="20"/>
          <w:szCs w:val="20"/>
        </w:rPr>
        <w:t>Също така правилно е това, което не противоречи на п</w:t>
      </w:r>
      <w:r w:rsidRPr="00DA3F0F">
        <w:rPr>
          <w:i/>
          <w:iCs/>
          <w:sz w:val="20"/>
          <w:szCs w:val="20"/>
        </w:rPr>
        <w:t>редписание за извършването на нещо по определен начин.</w:t>
      </w:r>
    </w:p>
    <w:p w:rsidR="00CE3DE6" w:rsidRDefault="00CE3DE6" w:rsidP="00A26BB2">
      <w:pPr>
        <w:numPr>
          <w:ilvl w:val="0"/>
          <w:numId w:val="23"/>
        </w:numPr>
        <w:ind w:left="0" w:firstLine="284"/>
        <w:jc w:val="both"/>
        <w:rPr>
          <w:i/>
          <w:iCs/>
          <w:sz w:val="20"/>
          <w:szCs w:val="20"/>
        </w:rPr>
      </w:pPr>
      <w:r w:rsidRPr="00CA405F">
        <w:rPr>
          <w:i/>
          <w:iCs/>
          <w:sz w:val="20"/>
          <w:szCs w:val="20"/>
        </w:rPr>
        <w:t xml:space="preserve"> </w:t>
      </w:r>
      <w:r w:rsidRPr="00DA3F0F">
        <w:rPr>
          <w:i/>
          <w:iCs/>
          <w:sz w:val="20"/>
          <w:szCs w:val="20"/>
        </w:rPr>
        <w:t>„Ясно“- посочване на отделните етапи и видове СМР. Следва да се разбира изброяване, което недвусмислено посочва конкретния етап, конкретния вид СМР и по начин, по който същият да бъде индивидуализиран с предвидените в количествената сметка конкретни видове СМР;</w:t>
      </w:r>
    </w:p>
    <w:p w:rsidR="00CE3DE6" w:rsidRPr="00BB413D" w:rsidRDefault="00CE3DE6" w:rsidP="00A26BB2">
      <w:pPr>
        <w:numPr>
          <w:ilvl w:val="0"/>
          <w:numId w:val="23"/>
        </w:numPr>
        <w:ind w:left="0" w:firstLine="284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„Удачно” – това, което е </w:t>
      </w:r>
      <w:r w:rsidRPr="000D5B22">
        <w:rPr>
          <w:i/>
          <w:iCs/>
          <w:sz w:val="20"/>
          <w:szCs w:val="20"/>
        </w:rPr>
        <w:t>успешно, благополучно, сполучливо, подходящо</w:t>
      </w:r>
      <w:r>
        <w:rPr>
          <w:rFonts w:ascii="Tahoma" w:hAnsi="Tahoma" w:cs="Tahoma"/>
          <w:color w:val="444444"/>
          <w:sz w:val="14"/>
          <w:szCs w:val="14"/>
        </w:rPr>
        <w:t>;</w:t>
      </w:r>
    </w:p>
    <w:p w:rsidR="00CE3DE6" w:rsidRPr="00CA405F" w:rsidRDefault="00CE3DE6" w:rsidP="00A26BB2">
      <w:pPr>
        <w:numPr>
          <w:ilvl w:val="0"/>
          <w:numId w:val="23"/>
        </w:numPr>
        <w:ind w:left="0" w:firstLine="284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„Схематично, формално и повърхностно” – незадълбочено, </w:t>
      </w:r>
      <w:r w:rsidRPr="000D5B22">
        <w:rPr>
          <w:i/>
          <w:iCs/>
          <w:sz w:val="20"/>
          <w:szCs w:val="20"/>
        </w:rPr>
        <w:t>бегъл</w:t>
      </w:r>
      <w:r>
        <w:rPr>
          <w:i/>
          <w:iCs/>
          <w:sz w:val="20"/>
          <w:szCs w:val="20"/>
        </w:rPr>
        <w:t>о</w:t>
      </w:r>
      <w:r w:rsidRPr="000D5B22">
        <w:rPr>
          <w:i/>
          <w:iCs/>
          <w:sz w:val="20"/>
          <w:szCs w:val="20"/>
        </w:rPr>
        <w:t>, несериозен</w:t>
      </w:r>
      <w:r>
        <w:rPr>
          <w:i/>
          <w:iCs/>
          <w:sz w:val="20"/>
          <w:szCs w:val="20"/>
        </w:rPr>
        <w:t>о, шаблон</w:t>
      </w:r>
      <w:r w:rsidRPr="000D5B22">
        <w:rPr>
          <w:i/>
          <w:iCs/>
          <w:sz w:val="20"/>
          <w:szCs w:val="20"/>
        </w:rPr>
        <w:t>н</w:t>
      </w:r>
      <w:r>
        <w:rPr>
          <w:i/>
          <w:iCs/>
          <w:sz w:val="20"/>
          <w:szCs w:val="20"/>
        </w:rPr>
        <w:t>о описание или изложение;</w:t>
      </w:r>
    </w:p>
    <w:p w:rsidR="00CE3DE6" w:rsidRPr="00CA405F" w:rsidRDefault="00CE3DE6" w:rsidP="00A26BB2">
      <w:pPr>
        <w:ind w:firstLine="567"/>
        <w:jc w:val="both"/>
        <w:rPr>
          <w:rStyle w:val="FontStyle16"/>
          <w:b w:val="0"/>
          <w:bCs w:val="0"/>
          <w:sz w:val="20"/>
          <w:szCs w:val="20"/>
        </w:rPr>
      </w:pPr>
      <w:r w:rsidRPr="00CA405F">
        <w:rPr>
          <w:i/>
          <w:iCs/>
          <w:sz w:val="20"/>
          <w:szCs w:val="20"/>
        </w:rPr>
        <w:t xml:space="preserve"> </w:t>
      </w:r>
      <w:r w:rsidRPr="00DA3F0F">
        <w:rPr>
          <w:i/>
          <w:iCs/>
          <w:sz w:val="20"/>
          <w:szCs w:val="20"/>
        </w:rPr>
        <w:t>„Несъществени пропуски и/или частично съответствие“ – налице е, когато същото е констатирано, но несъответствието или липсващата информация може да бъде установена от други факти и информация, посочени в офертата на участника и пропуски и/или частично несъответствие, които не могат да повлияят на изпълнението на поръчката и с оглед спазване на проекта и правилната технологична последователност. Ако липсата на информация и/или частичното несъответствие  не могат да бъдат установени от други части в офертата се приема наличието на „констатирано несъответствие“</w:t>
      </w:r>
    </w:p>
    <w:p w:rsidR="00CE3DE6" w:rsidRDefault="00CE3DE6" w:rsidP="00A26BB2">
      <w:pPr>
        <w:ind w:firstLine="567"/>
        <w:jc w:val="both"/>
        <w:rPr>
          <w:rStyle w:val="FontStyle16"/>
          <w:b w:val="0"/>
          <w:bCs w:val="0"/>
        </w:rPr>
      </w:pPr>
    </w:p>
    <w:p w:rsidR="00CE3DE6" w:rsidRPr="00192D1F" w:rsidRDefault="00CE3DE6" w:rsidP="00192D1F">
      <w:pPr>
        <w:jc w:val="both"/>
        <w:rPr>
          <w:rStyle w:val="FontStyle16"/>
          <w:b w:val="0"/>
          <w:bCs w:val="0"/>
        </w:rPr>
      </w:pPr>
    </w:p>
    <w:p w:rsidR="00CE3DE6" w:rsidRPr="00653064" w:rsidRDefault="00CE3DE6" w:rsidP="00041A7B">
      <w:pPr>
        <w:ind w:firstLine="567"/>
        <w:jc w:val="both"/>
        <w:rPr>
          <w:rStyle w:val="FontStyle16"/>
        </w:rPr>
      </w:pPr>
      <w:r w:rsidRPr="00653064">
        <w:rPr>
          <w:rStyle w:val="FontStyle16"/>
        </w:rPr>
        <w:t>1.3. Финансова оценка на предложението (Фо)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След приключване на техническата оценка на предложенията, Комисията отваря Плик № 3 само на допуснатите след втория етап на проверката участници.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Финансова оценка на предложението се определя въз основа на предложената от участника цена</w:t>
      </w:r>
      <w:r>
        <w:rPr>
          <w:rStyle w:val="FontStyle16"/>
          <w:b w:val="0"/>
          <w:bCs w:val="0"/>
        </w:rPr>
        <w:t xml:space="preserve"> без провизорните суми (суми за непредвидени разходи)</w:t>
      </w:r>
      <w:r w:rsidRPr="00653064">
        <w:rPr>
          <w:rStyle w:val="FontStyle16"/>
          <w:b w:val="0"/>
          <w:bCs w:val="0"/>
        </w:rPr>
        <w:t>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Финансова оценка на предложението се определя по следния ред:</w:t>
      </w:r>
    </w:p>
    <w:p w:rsidR="00CE3DE6" w:rsidRPr="00653064" w:rsidRDefault="00CE3DE6" w:rsidP="00041A7B">
      <w:pPr>
        <w:ind w:firstLine="567"/>
        <w:jc w:val="both"/>
        <w:rPr>
          <w:rStyle w:val="FontStyle16"/>
        </w:rPr>
      </w:pPr>
      <w:r w:rsidRPr="00653064">
        <w:rPr>
          <w:rStyle w:val="FontStyle16"/>
        </w:rPr>
        <w:t>Фо  =  (Цмин / Ц участник) X 10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където: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Цмин     - най-ниската предложена цена в настоящата процедура</w:t>
      </w:r>
      <w:r>
        <w:rPr>
          <w:rStyle w:val="FontStyle16"/>
          <w:b w:val="0"/>
          <w:bCs w:val="0"/>
        </w:rPr>
        <w:t xml:space="preserve"> без провизорните суми (суми за непредвидени разходи)</w:t>
      </w:r>
      <w:r w:rsidRPr="00653064">
        <w:rPr>
          <w:rStyle w:val="FontStyle16"/>
          <w:b w:val="0"/>
          <w:bCs w:val="0"/>
        </w:rPr>
        <w:t>;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Цучастник - цената, предложена от съответния участник</w:t>
      </w:r>
      <w:r>
        <w:rPr>
          <w:rStyle w:val="FontStyle16"/>
          <w:b w:val="0"/>
          <w:bCs w:val="0"/>
        </w:rPr>
        <w:t xml:space="preserve"> без провизорните суми (суми за непредвидени разходи)</w:t>
      </w:r>
      <w:bookmarkStart w:id="0" w:name="_GoBack"/>
      <w:bookmarkEnd w:id="0"/>
      <w:r w:rsidRPr="00653064">
        <w:rPr>
          <w:rStyle w:val="FontStyle16"/>
          <w:b w:val="0"/>
          <w:bCs w:val="0"/>
        </w:rPr>
        <w:t>;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</w:rPr>
        <w:t>Максималният брой точки, който може да се определи на всеки участник по този показател е 10.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Преди извършване на финансовата оценка, финансовите предложения се проверяват, за да се установи, че са подготвени и представени в съответствие с изискванията на документацията за участие в процедурата.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Констатираните аритметични грешки се отстраняват при спазване на следните правила: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- при различия между сумите, изразени с цифри и думи, за вярно се приема словесното изражение на сумата;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- ако е допусната аритметична грешка при пресмятането/изчисленията от участника, Комисията извършва повторни изчисления и определя аритметично вярната сума;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Комисията изпраща писмо до участника, с което го уведомява за допуснатата грешка и иска той да потвърди коригираната сума;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Участникът: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- приема корекциите и продължава участието си в процедурата ;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- не е съгласен с корекциите на Комисията и докаже, че Комисията не е изчислила вярно сумата, Комисията приема сумата посочена от участника и той продължава по - нататъшното си участие в процедурата;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- не е съгласен с корекциите на Комисията, но не успее да докаже, че посочената от него сума е вярна и изчисленията на Комисията се окажат верни, той отпада от по -нататъшно участие в процедурата ако не приеме корекциите.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Финансова оценка на всички предложения се изчислява от членовете на комисията за всеки един от участниците поотделно и председателят на комисията попълва Оценителен лист за финансовата оценка на всички участници. Оценителният лист се подписва от всички членове на комисията.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</w:p>
    <w:p w:rsidR="00CE3DE6" w:rsidRPr="00653064" w:rsidRDefault="00CE3DE6" w:rsidP="003C16F7">
      <w:pPr>
        <w:ind w:firstLine="567"/>
        <w:jc w:val="both"/>
        <w:rPr>
          <w:rStyle w:val="FontStyle16"/>
        </w:rPr>
      </w:pPr>
      <w:r w:rsidRPr="00653064">
        <w:rPr>
          <w:rStyle w:val="FontStyle16"/>
        </w:rPr>
        <w:t xml:space="preserve">1.4. Крайна </w:t>
      </w:r>
      <w:r>
        <w:rPr>
          <w:rStyle w:val="FontStyle16"/>
        </w:rPr>
        <w:t xml:space="preserve">(комплексна) </w:t>
      </w:r>
      <w:r w:rsidRPr="00653064">
        <w:rPr>
          <w:rStyle w:val="FontStyle16"/>
        </w:rPr>
        <w:t>оценка на предложението (КО)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При определяне на общата оценка на предложението, се обединяват техническата и финансовата оценка на предложението</w:t>
      </w:r>
      <w:r w:rsidRPr="00782E44">
        <w:rPr>
          <w:rStyle w:val="FontStyle16"/>
          <w:b w:val="0"/>
          <w:bCs w:val="0"/>
          <w:lang w:val="ru-RU"/>
        </w:rPr>
        <w:t xml:space="preserve"> </w:t>
      </w:r>
      <w:r w:rsidRPr="00653064">
        <w:rPr>
          <w:rStyle w:val="FontStyle16"/>
          <w:b w:val="0"/>
          <w:bCs w:val="0"/>
        </w:rPr>
        <w:t>по формулата</w:t>
      </w:r>
    </w:p>
    <w:p w:rsidR="00CE3DE6" w:rsidRPr="00653064" w:rsidRDefault="00CE3DE6" w:rsidP="00041A7B">
      <w:pPr>
        <w:ind w:firstLine="567"/>
        <w:jc w:val="both"/>
        <w:rPr>
          <w:rStyle w:val="FontStyle16"/>
        </w:rPr>
      </w:pPr>
      <w:r w:rsidRPr="00653064">
        <w:rPr>
          <w:rStyle w:val="FontStyle16"/>
        </w:rPr>
        <w:t>КО = (70% х ТО) + (30% х ФО)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Общата оценка се изчислява от членовете на комисията за всяко едно предложение по отделно и председателят на комисията попълва в таблицата - Оценителен лист за окончателната обща оценка на всички участници. Оценителният лист се подписва от всички членове на комисията.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</w:p>
    <w:p w:rsidR="00CE3DE6" w:rsidRPr="00653064" w:rsidRDefault="00CE3DE6" w:rsidP="00041A7B">
      <w:pPr>
        <w:ind w:firstLine="567"/>
        <w:jc w:val="both"/>
        <w:rPr>
          <w:rStyle w:val="FontStyle16"/>
        </w:rPr>
      </w:pPr>
      <w:r w:rsidRPr="00653064">
        <w:rPr>
          <w:rStyle w:val="FontStyle16"/>
        </w:rPr>
        <w:t>10.2. Крайно класиране на участниците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Крайното класиране на участниците се извършва след получаване на Крайната оценка (КО) за всяко подадено предложение.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На първо място се класира участникът с най-висока оценка.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lastRenderedPageBreak/>
        <w:t>В случай че комплексните оценки на две или повече оферти са равни, за икономически най-изгодна се приема тази оферта, в която се предлага най-ниска цена.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При условие че и цените са еднакви се сравняват оценките по показателя с най-висока относителна тежест и се избира офертата с по-благоприятна стойност по този показател.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Комисията провежда публично жребий за определяне на изпълнител между класираните на първо място оферти, ако поръчката се възлага по критерий "икономически най-изгодна оферта", но тази оферта не може да се определи по реда на предходните две точки - чл. 71, ал. 4 от ЗОП.</w:t>
      </w:r>
    </w:p>
    <w:p w:rsidR="00CE3DE6" w:rsidRPr="00653064" w:rsidRDefault="00CE3DE6" w:rsidP="00041A7B">
      <w:pPr>
        <w:spacing w:after="120"/>
        <w:jc w:val="both"/>
      </w:pPr>
    </w:p>
    <w:sectPr w:rsidR="00CE3DE6" w:rsidRPr="00653064" w:rsidSect="00A01DD3">
      <w:headerReference w:type="default" r:id="rId9"/>
      <w:footerReference w:type="default" r:id="rId10"/>
      <w:pgSz w:w="11906" w:h="16838"/>
      <w:pgMar w:top="1247" w:right="1418" w:bottom="1134" w:left="1418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DE6" w:rsidRDefault="00CE3DE6">
      <w:r>
        <w:separator/>
      </w:r>
    </w:p>
  </w:endnote>
  <w:endnote w:type="continuationSeparator" w:id="1">
    <w:p w:rsidR="00CE3DE6" w:rsidRDefault="00CE3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DE6" w:rsidRPr="00F20751" w:rsidRDefault="007A24FB">
    <w:pPr>
      <w:pStyle w:val="Footer"/>
      <w:framePr w:wrap="auto" w:vAnchor="text" w:hAnchor="margin" w:xAlign="right" w:y="1"/>
      <w:rPr>
        <w:rStyle w:val="PageNumber"/>
        <w:i/>
        <w:iCs/>
        <w:sz w:val="22"/>
        <w:szCs w:val="22"/>
      </w:rPr>
    </w:pPr>
    <w:r w:rsidRPr="00F20751">
      <w:rPr>
        <w:rStyle w:val="PageNumber"/>
        <w:i/>
        <w:iCs/>
        <w:sz w:val="22"/>
        <w:szCs w:val="22"/>
      </w:rPr>
      <w:fldChar w:fldCharType="begin"/>
    </w:r>
    <w:r w:rsidR="00CE3DE6" w:rsidRPr="00F20751">
      <w:rPr>
        <w:rStyle w:val="PageNumber"/>
        <w:i/>
        <w:iCs/>
        <w:sz w:val="22"/>
        <w:szCs w:val="22"/>
      </w:rPr>
      <w:instrText xml:space="preserve">PAGE  </w:instrText>
    </w:r>
    <w:r w:rsidRPr="00F20751">
      <w:rPr>
        <w:rStyle w:val="PageNumber"/>
        <w:i/>
        <w:iCs/>
        <w:sz w:val="22"/>
        <w:szCs w:val="22"/>
      </w:rPr>
      <w:fldChar w:fldCharType="separate"/>
    </w:r>
    <w:r w:rsidR="00DD7198">
      <w:rPr>
        <w:rStyle w:val="PageNumber"/>
        <w:i/>
        <w:iCs/>
        <w:noProof/>
        <w:sz w:val="22"/>
        <w:szCs w:val="22"/>
      </w:rPr>
      <w:t>2</w:t>
    </w:r>
    <w:r w:rsidRPr="00F20751">
      <w:rPr>
        <w:rStyle w:val="PageNumber"/>
        <w:i/>
        <w:iCs/>
        <w:sz w:val="22"/>
        <w:szCs w:val="22"/>
      </w:rPr>
      <w:fldChar w:fldCharType="end"/>
    </w:r>
    <w:r w:rsidR="00CE3DE6" w:rsidRPr="00F20751">
      <w:rPr>
        <w:rStyle w:val="PageNumber"/>
        <w:i/>
        <w:iCs/>
        <w:sz w:val="22"/>
        <w:szCs w:val="22"/>
      </w:rPr>
      <w:t>/</w:t>
    </w:r>
    <w:r w:rsidRPr="00F20751">
      <w:rPr>
        <w:rStyle w:val="PageNumber"/>
        <w:i/>
        <w:iCs/>
        <w:sz w:val="22"/>
        <w:szCs w:val="22"/>
      </w:rPr>
      <w:fldChar w:fldCharType="begin"/>
    </w:r>
    <w:r w:rsidR="00CE3DE6" w:rsidRPr="00F20751">
      <w:rPr>
        <w:rStyle w:val="PageNumber"/>
        <w:i/>
        <w:iCs/>
        <w:sz w:val="22"/>
        <w:szCs w:val="22"/>
      </w:rPr>
      <w:instrText xml:space="preserve"> NUMPAGES </w:instrText>
    </w:r>
    <w:r w:rsidRPr="00F20751">
      <w:rPr>
        <w:rStyle w:val="PageNumber"/>
        <w:i/>
        <w:iCs/>
        <w:sz w:val="22"/>
        <w:szCs w:val="22"/>
      </w:rPr>
      <w:fldChar w:fldCharType="separate"/>
    </w:r>
    <w:r w:rsidR="00DD7198">
      <w:rPr>
        <w:rStyle w:val="PageNumber"/>
        <w:i/>
        <w:iCs/>
        <w:noProof/>
        <w:sz w:val="22"/>
        <w:szCs w:val="22"/>
      </w:rPr>
      <w:t>7</w:t>
    </w:r>
    <w:r w:rsidRPr="00F20751">
      <w:rPr>
        <w:rStyle w:val="PageNumber"/>
        <w:i/>
        <w:iCs/>
        <w:sz w:val="22"/>
        <w:szCs w:val="22"/>
      </w:rPr>
      <w:fldChar w:fldCharType="end"/>
    </w:r>
  </w:p>
  <w:p w:rsidR="00CE3DE6" w:rsidRPr="00473BB2" w:rsidRDefault="00CE3DE6">
    <w:pPr>
      <w:pStyle w:val="Footer"/>
      <w:ind w:right="360"/>
      <w:jc w:val="center"/>
      <w:rPr>
        <w:b/>
        <w:bCs/>
        <w:i/>
        <w:iCs/>
        <w:sz w:val="20"/>
        <w:szCs w:val="20"/>
      </w:rPr>
    </w:pPr>
    <w:r w:rsidRPr="00473BB2">
      <w:rPr>
        <w:b/>
        <w:bCs/>
        <w:i/>
        <w:iCs/>
        <w:sz w:val="20"/>
        <w:szCs w:val="20"/>
      </w:rPr>
      <w:t>Методика за определяне на компл</w:t>
    </w:r>
    <w:r>
      <w:rPr>
        <w:b/>
        <w:bCs/>
        <w:i/>
        <w:iCs/>
        <w:sz w:val="20"/>
        <w:szCs w:val="20"/>
      </w:rPr>
      <w:t>е</w:t>
    </w:r>
    <w:r w:rsidRPr="00473BB2">
      <w:rPr>
        <w:b/>
        <w:bCs/>
        <w:i/>
        <w:iCs/>
        <w:sz w:val="20"/>
        <w:szCs w:val="20"/>
      </w:rPr>
      <w:t>ксната оценка на офертата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DE6" w:rsidRDefault="00CE3DE6">
      <w:r>
        <w:separator/>
      </w:r>
    </w:p>
  </w:footnote>
  <w:footnote w:type="continuationSeparator" w:id="1">
    <w:p w:rsidR="00CE3DE6" w:rsidRDefault="00CE3D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DE6" w:rsidRPr="007A0280" w:rsidRDefault="00CE3DE6" w:rsidP="008F1B66">
    <w:pPr>
      <w:pStyle w:val="Header"/>
      <w:jc w:val="center"/>
    </w:pPr>
    <w:r w:rsidRPr="00A503D4">
      <w:rPr>
        <w:caps/>
        <w:lang w:eastAsia="en-US"/>
      </w:rPr>
      <w:t xml:space="preserve">ИЗБОР НА ИЗПЪЛНИТЕЛ на договор с договорните условия на ФИДИК Жълта книга и предмет "Изграждане на Пречиствателна станция за питейни води за гр. Шумен и населените места в Община Шумен – фаза </w:t>
    </w:r>
    <w:r w:rsidRPr="00A503D4">
      <w:rPr>
        <w:caps/>
        <w:lang w:val="en-US" w:eastAsia="en-US"/>
      </w:rPr>
      <w:t>I</w:t>
    </w:r>
    <w:r w:rsidRPr="00A503D4">
      <w:rPr>
        <w:caps/>
        <w:lang w:eastAsia="en-US"/>
      </w:rPr>
      <w:t>"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C1A3D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270A61CF"/>
    <w:multiLevelType w:val="hybridMultilevel"/>
    <w:tmpl w:val="E61EA576"/>
    <w:lvl w:ilvl="0" w:tplc="0402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2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2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">
    <w:nsid w:val="279716F0"/>
    <w:multiLevelType w:val="hybridMultilevel"/>
    <w:tmpl w:val="7414B6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B03C19"/>
    <w:multiLevelType w:val="hybridMultilevel"/>
    <w:tmpl w:val="027480CC"/>
    <w:lvl w:ilvl="0" w:tplc="CC045130">
      <w:start w:val="2"/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hint="default"/>
        <w:b w:val="0"/>
        <w:bCs w:val="0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5">
    <w:nsid w:val="33A16983"/>
    <w:multiLevelType w:val="singleLevel"/>
    <w:tmpl w:val="9F005606"/>
    <w:lvl w:ilvl="0">
      <w:start w:val="1"/>
      <w:numFmt w:val="bullet"/>
      <w:pStyle w:val="Bulets"/>
      <w:lvlText w:val=""/>
      <w:lvlJc w:val="left"/>
      <w:pPr>
        <w:tabs>
          <w:tab w:val="num" w:pos="1389"/>
        </w:tabs>
        <w:ind w:left="1389" w:hanging="396"/>
      </w:pPr>
      <w:rPr>
        <w:rFonts w:ascii="Symbol" w:hAnsi="Symbol" w:cs="Symbol" w:hint="default"/>
      </w:rPr>
    </w:lvl>
  </w:abstractNum>
  <w:abstractNum w:abstractNumId="6">
    <w:nsid w:val="36163700"/>
    <w:multiLevelType w:val="hybridMultilevel"/>
    <w:tmpl w:val="257E9B76"/>
    <w:lvl w:ilvl="0" w:tplc="040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59448F"/>
    <w:multiLevelType w:val="hybridMultilevel"/>
    <w:tmpl w:val="6C70748E"/>
    <w:lvl w:ilvl="0" w:tplc="80386BD6">
      <w:start w:val="30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cs="Wingdings" w:hint="default"/>
      </w:rPr>
    </w:lvl>
  </w:abstractNum>
  <w:abstractNum w:abstractNumId="8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/>
      </w:rPr>
    </w:lvl>
  </w:abstractNum>
  <w:abstractNum w:abstractNumId="9">
    <w:nsid w:val="41A1087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9F570AA"/>
    <w:multiLevelType w:val="singleLevel"/>
    <w:tmpl w:val="76F2C7D4"/>
    <w:lvl w:ilvl="0">
      <w:start w:val="1"/>
      <w:numFmt w:val="bullet"/>
      <w:pStyle w:val="Bulets2"/>
      <w:lvlText w:val=""/>
      <w:lvlJc w:val="left"/>
      <w:pPr>
        <w:tabs>
          <w:tab w:val="num" w:pos="1814"/>
        </w:tabs>
        <w:ind w:left="1814" w:hanging="623"/>
      </w:pPr>
      <w:rPr>
        <w:rFonts w:ascii="Wingdings" w:hAnsi="Wingdings" w:cs="Wingdings" w:hint="default"/>
      </w:rPr>
    </w:lvl>
  </w:abstractNum>
  <w:abstractNum w:abstractNumId="11">
    <w:nsid w:val="50F16E9A"/>
    <w:multiLevelType w:val="multilevel"/>
    <w:tmpl w:val="9EFE13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50F5F72"/>
    <w:multiLevelType w:val="hybridMultilevel"/>
    <w:tmpl w:val="14B821A6"/>
    <w:lvl w:ilvl="0" w:tplc="040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804285"/>
    <w:multiLevelType w:val="hybridMultilevel"/>
    <w:tmpl w:val="1CB6D122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21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93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7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9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538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5"/>
  </w:num>
  <w:num w:numId="8">
    <w:abstractNumId w:val="10"/>
  </w:num>
  <w:num w:numId="9">
    <w:abstractNumId w:val="8"/>
  </w:num>
  <w:num w:numId="10">
    <w:abstractNumId w:val="1"/>
    <w:lvlOverride w:ilvl="0">
      <w:lvl w:ilvl="0">
        <w:start w:val="2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11">
    <w:abstractNumId w:val="11"/>
  </w:num>
  <w:num w:numId="12">
    <w:abstractNumId w:val="9"/>
  </w:num>
  <w:num w:numId="13">
    <w:abstractNumId w:val="2"/>
  </w:num>
  <w:num w:numId="14">
    <w:abstractNumId w:val="11"/>
    <w:lvlOverride w:ilvl="0">
      <w:startOverride w:val="2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4"/>
  </w:num>
  <w:num w:numId="17">
    <w:abstractNumId w:val="1"/>
    <w:lvlOverride w:ilvl="0">
      <w:lvl w:ilvl="0">
        <w:start w:val="1"/>
        <w:numFmt w:val="bullet"/>
        <w:lvlText w:val=""/>
        <w:legacy w:legacy="1" w:legacySpace="0" w:legacyIndent="360"/>
        <w:lvlJc w:val="left"/>
        <w:pPr>
          <w:ind w:left="1069" w:hanging="360"/>
        </w:pPr>
        <w:rPr>
          <w:rFonts w:ascii="Wingdings" w:hAnsi="Wingdings" w:cs="Wingdings" w:hint="default"/>
          <w:sz w:val="16"/>
          <w:szCs w:val="16"/>
        </w:rPr>
      </w:lvl>
    </w:lvlOverride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2"/>
  </w:num>
  <w:num w:numId="22">
    <w:abstractNumId w:val="3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C14"/>
    <w:rsid w:val="000140C3"/>
    <w:rsid w:val="00041A7B"/>
    <w:rsid w:val="00093D99"/>
    <w:rsid w:val="000A2239"/>
    <w:rsid w:val="000D5B22"/>
    <w:rsid w:val="00192D1F"/>
    <w:rsid w:val="001B6410"/>
    <w:rsid w:val="001C7B94"/>
    <w:rsid w:val="00210EBC"/>
    <w:rsid w:val="00282BB3"/>
    <w:rsid w:val="002832A6"/>
    <w:rsid w:val="00296DFE"/>
    <w:rsid w:val="002A7CB6"/>
    <w:rsid w:val="00301342"/>
    <w:rsid w:val="0034513D"/>
    <w:rsid w:val="00375DE6"/>
    <w:rsid w:val="003C16F7"/>
    <w:rsid w:val="00401C3C"/>
    <w:rsid w:val="00404111"/>
    <w:rsid w:val="00432F7C"/>
    <w:rsid w:val="004723ED"/>
    <w:rsid w:val="00473BB2"/>
    <w:rsid w:val="004D6DA4"/>
    <w:rsid w:val="0050291F"/>
    <w:rsid w:val="00535FEC"/>
    <w:rsid w:val="00570763"/>
    <w:rsid w:val="005F51E6"/>
    <w:rsid w:val="00653064"/>
    <w:rsid w:val="0065306D"/>
    <w:rsid w:val="0065534F"/>
    <w:rsid w:val="006C010E"/>
    <w:rsid w:val="006E216A"/>
    <w:rsid w:val="006E2340"/>
    <w:rsid w:val="006F1630"/>
    <w:rsid w:val="007678CD"/>
    <w:rsid w:val="00782E44"/>
    <w:rsid w:val="007A0280"/>
    <w:rsid w:val="007A24FB"/>
    <w:rsid w:val="007B5101"/>
    <w:rsid w:val="007D3232"/>
    <w:rsid w:val="007E09A1"/>
    <w:rsid w:val="007E3F03"/>
    <w:rsid w:val="00884867"/>
    <w:rsid w:val="00886C14"/>
    <w:rsid w:val="008F1B66"/>
    <w:rsid w:val="0090507B"/>
    <w:rsid w:val="0092792D"/>
    <w:rsid w:val="00950745"/>
    <w:rsid w:val="0096415C"/>
    <w:rsid w:val="009703F7"/>
    <w:rsid w:val="009768A4"/>
    <w:rsid w:val="00990720"/>
    <w:rsid w:val="009B7527"/>
    <w:rsid w:val="009D346A"/>
    <w:rsid w:val="009E54CD"/>
    <w:rsid w:val="00A01DD3"/>
    <w:rsid w:val="00A2128D"/>
    <w:rsid w:val="00A2286C"/>
    <w:rsid w:val="00A26BB2"/>
    <w:rsid w:val="00A503D4"/>
    <w:rsid w:val="00A61331"/>
    <w:rsid w:val="00B40188"/>
    <w:rsid w:val="00B6797D"/>
    <w:rsid w:val="00BB413D"/>
    <w:rsid w:val="00BC2D10"/>
    <w:rsid w:val="00C846CF"/>
    <w:rsid w:val="00CA405F"/>
    <w:rsid w:val="00CE3DE6"/>
    <w:rsid w:val="00D04444"/>
    <w:rsid w:val="00D0651B"/>
    <w:rsid w:val="00D17C50"/>
    <w:rsid w:val="00D34D64"/>
    <w:rsid w:val="00DA3F0F"/>
    <w:rsid w:val="00DD0585"/>
    <w:rsid w:val="00DD7198"/>
    <w:rsid w:val="00E13B1D"/>
    <w:rsid w:val="00E171D7"/>
    <w:rsid w:val="00E403B4"/>
    <w:rsid w:val="00E63432"/>
    <w:rsid w:val="00F20751"/>
    <w:rsid w:val="00F545B4"/>
    <w:rsid w:val="00F819EC"/>
    <w:rsid w:val="00FC5C7E"/>
    <w:rsid w:val="00FF3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DD3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01DD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01DD3"/>
    <w:pPr>
      <w:keepNext/>
      <w:jc w:val="both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01DD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01DD3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0651B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0651B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0651B"/>
    <w:rPr>
      <w:rFonts w:ascii="Calibri" w:hAnsi="Calibri" w:cs="Calibri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0651B"/>
    <w:rPr>
      <w:rFonts w:ascii="Calibri" w:hAnsi="Calibri" w:cs="Calibri"/>
      <w:b/>
      <w:bCs/>
    </w:rPr>
  </w:style>
  <w:style w:type="paragraph" w:customStyle="1" w:styleId="CharCharCharCharCharCharCharCharChar">
    <w:name w:val="Знак Знак Char Char Char Char Char Char Char Char Char"/>
    <w:basedOn w:val="Normal"/>
    <w:uiPriority w:val="99"/>
    <w:rsid w:val="00A01DD3"/>
    <w:pPr>
      <w:tabs>
        <w:tab w:val="left" w:pos="709"/>
      </w:tabs>
      <w:jc w:val="both"/>
    </w:pPr>
    <w:rPr>
      <w:rFonts w:ascii="Tahoma" w:hAnsi="Tahoma" w:cs="Tahoma"/>
      <w:lang w:val="pl-PL" w:eastAsia="pl-PL"/>
    </w:rPr>
  </w:style>
  <w:style w:type="paragraph" w:styleId="BodyText">
    <w:name w:val="Body Text"/>
    <w:basedOn w:val="Normal"/>
    <w:link w:val="BodyTextChar"/>
    <w:uiPriority w:val="99"/>
    <w:rsid w:val="00A01DD3"/>
    <w:pPr>
      <w:jc w:val="both"/>
    </w:pPr>
    <w:rPr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0651B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01D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651B"/>
    <w:rPr>
      <w:sz w:val="2"/>
      <w:szCs w:val="2"/>
    </w:rPr>
  </w:style>
  <w:style w:type="table" w:styleId="TableGrid">
    <w:name w:val="Table Grid"/>
    <w:basedOn w:val="TableNormal"/>
    <w:uiPriority w:val="99"/>
    <w:rsid w:val="00A01DD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ets">
    <w:name w:val="Bulets"/>
    <w:basedOn w:val="Normal"/>
    <w:link w:val="Bulets0"/>
    <w:uiPriority w:val="99"/>
    <w:rsid w:val="00A01DD3"/>
    <w:pPr>
      <w:numPr>
        <w:numId w:val="7"/>
      </w:numPr>
      <w:spacing w:before="120"/>
      <w:jc w:val="both"/>
    </w:pPr>
    <w:rPr>
      <w:rFonts w:ascii="Arial" w:hAnsi="Arial" w:cs="Arial"/>
      <w:lang w:val="en-GB" w:eastAsia="en-US"/>
    </w:rPr>
  </w:style>
  <w:style w:type="character" w:customStyle="1" w:styleId="Bulets0">
    <w:name w:val="Bulets Знак"/>
    <w:link w:val="Bulets"/>
    <w:uiPriority w:val="99"/>
    <w:locked/>
    <w:rsid w:val="00A01DD3"/>
    <w:rPr>
      <w:rFonts w:ascii="Arial" w:hAnsi="Arial" w:cs="Arial"/>
      <w:sz w:val="24"/>
      <w:szCs w:val="24"/>
      <w:lang w:val="en-GB" w:eastAsia="en-US"/>
    </w:rPr>
  </w:style>
  <w:style w:type="paragraph" w:customStyle="1" w:styleId="CharCharCharCharChar3Char">
    <w:name w:val="Char Char Char Char Char3 Char"/>
    <w:basedOn w:val="Normal"/>
    <w:uiPriority w:val="99"/>
    <w:semiHidden/>
    <w:rsid w:val="00A01DD3"/>
    <w:pPr>
      <w:tabs>
        <w:tab w:val="left" w:pos="709"/>
      </w:tabs>
    </w:pPr>
    <w:rPr>
      <w:rFonts w:ascii="Futura Bk" w:hAnsi="Futura Bk" w:cs="Futura Bk"/>
      <w:lang w:val="pl-PL" w:eastAsia="pl-PL"/>
    </w:rPr>
  </w:style>
  <w:style w:type="paragraph" w:customStyle="1" w:styleId="Bulets2">
    <w:name w:val="Bulets2"/>
    <w:basedOn w:val="Normal"/>
    <w:uiPriority w:val="99"/>
    <w:rsid w:val="00A01DD3"/>
    <w:pPr>
      <w:numPr>
        <w:numId w:val="8"/>
      </w:numPr>
      <w:spacing w:before="120"/>
      <w:jc w:val="both"/>
    </w:pPr>
    <w:rPr>
      <w:rFonts w:ascii="Arial" w:hAnsi="Arial" w:cs="Arial"/>
      <w:lang w:eastAsia="en-US"/>
    </w:rPr>
  </w:style>
  <w:style w:type="paragraph" w:styleId="Footer">
    <w:name w:val="footer"/>
    <w:basedOn w:val="Normal"/>
    <w:link w:val="FooterChar"/>
    <w:uiPriority w:val="99"/>
    <w:rsid w:val="00A01DD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0651B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A01DD3"/>
  </w:style>
  <w:style w:type="paragraph" w:styleId="Header">
    <w:name w:val="header"/>
    <w:aliases w:val="Char Char"/>
    <w:basedOn w:val="Normal"/>
    <w:link w:val="HeaderChar1"/>
    <w:uiPriority w:val="99"/>
    <w:rsid w:val="00A01DD3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Char Char Char"/>
    <w:basedOn w:val="DefaultParagraphFont"/>
    <w:link w:val="Header"/>
    <w:uiPriority w:val="99"/>
    <w:semiHidden/>
    <w:locked/>
    <w:rsid w:val="00D0651B"/>
    <w:rPr>
      <w:sz w:val="24"/>
      <w:szCs w:val="24"/>
    </w:rPr>
  </w:style>
  <w:style w:type="paragraph" w:customStyle="1" w:styleId="CharCharCharCharCharCharCharCharChar0">
    <w:name w:val="Char Char Char Char Char Char Char Char Char"/>
    <w:basedOn w:val="Normal"/>
    <w:uiPriority w:val="99"/>
    <w:rsid w:val="00A01DD3"/>
    <w:pPr>
      <w:spacing w:after="160" w:line="240" w:lineRule="exact"/>
    </w:pPr>
    <w:rPr>
      <w:rFonts w:ascii="Tahoma" w:hAnsi="Tahoma" w:cs="Tahoma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A01D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01DD3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065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01D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0651B"/>
    <w:rPr>
      <w:b/>
      <w:bCs/>
    </w:rPr>
  </w:style>
  <w:style w:type="paragraph" w:customStyle="1" w:styleId="Char">
    <w:name w:val="Char"/>
    <w:basedOn w:val="Normal"/>
    <w:uiPriority w:val="99"/>
    <w:rsid w:val="00A01DD3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Char">
    <w:name w:val="Char Char Char Char"/>
    <w:basedOn w:val="Normal"/>
    <w:uiPriority w:val="99"/>
    <w:rsid w:val="00A01DD3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ListBullet">
    <w:name w:val="List Bullet"/>
    <w:basedOn w:val="Normal"/>
    <w:uiPriority w:val="99"/>
    <w:rsid w:val="00A01DD3"/>
    <w:pPr>
      <w:numPr>
        <w:numId w:val="9"/>
      </w:numPr>
      <w:spacing w:after="240"/>
      <w:jc w:val="both"/>
    </w:pPr>
    <w:rPr>
      <w:lang w:val="en-GB" w:eastAsia="en-US"/>
    </w:rPr>
  </w:style>
  <w:style w:type="paragraph" w:customStyle="1" w:styleId="1CharCharChar1CharCharCharCharCharCharCharCharCharCharCharChar1CharCharCharCharCharCharChar">
    <w:name w:val="1 Char Char Char1 Char Char Char Char Char Char Char Char Char Char Char Char1 Char Char Char Char Char Char Char"/>
    <w:basedOn w:val="Normal"/>
    <w:uiPriority w:val="99"/>
    <w:rsid w:val="00A01DD3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1CharCharChar1CharCharCharCharCharCharCharCharCharCharCharChar1CharCharCharCharCharCharCharCharChar">
    <w:name w:val="1 Char Char Char1 Char Char Char Char Char Char Char Char Char Char Char Char1 Char Char Char Char Char Char Char Char Char"/>
    <w:basedOn w:val="Normal"/>
    <w:uiPriority w:val="99"/>
    <w:rsid w:val="00A01DD3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1CharCharChar1CharCharCharChar">
    <w:name w:val="1 Char Char Char1 Char Char Char Char"/>
    <w:basedOn w:val="Normal"/>
    <w:uiPriority w:val="99"/>
    <w:rsid w:val="00A01DD3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A">
    <w:name w:val="A"/>
    <w:basedOn w:val="Normal"/>
    <w:uiPriority w:val="99"/>
    <w:rsid w:val="00A01DD3"/>
    <w:pPr>
      <w:numPr>
        <w:ilvl w:val="12"/>
      </w:numPr>
      <w:spacing w:after="120"/>
      <w:ind w:left="567"/>
      <w:jc w:val="both"/>
    </w:pPr>
    <w:rPr>
      <w:rFonts w:ascii="Arial" w:hAnsi="Arial" w:cs="Arial"/>
      <w:sz w:val="22"/>
      <w:szCs w:val="22"/>
    </w:rPr>
  </w:style>
  <w:style w:type="paragraph" w:customStyle="1" w:styleId="1CharCharChar1CharCharCharCharCharCharCharCharCharChar">
    <w:name w:val="1 Char Char Char1 Char Char Char Char Char Char Char Char Char Char"/>
    <w:basedOn w:val="Normal"/>
    <w:uiPriority w:val="99"/>
    <w:rsid w:val="00A01DD3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uiPriority w:val="99"/>
    <w:rsid w:val="00A01DD3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1CharCharChar1CharCharCharCharCharChar">
    <w:name w:val="Char1 Char Char Char1 Char Char Char Char Char Char"/>
    <w:basedOn w:val="Normal"/>
    <w:uiPriority w:val="99"/>
    <w:rsid w:val="00A01DD3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CharCharCharCharCharChar1">
    <w:name w:val="Знак Знак Char Char Char Char Char Char Char Char Char1"/>
    <w:basedOn w:val="Normal"/>
    <w:uiPriority w:val="99"/>
    <w:rsid w:val="00A01DD3"/>
    <w:pPr>
      <w:tabs>
        <w:tab w:val="left" w:pos="709"/>
      </w:tabs>
      <w:jc w:val="both"/>
    </w:pPr>
    <w:rPr>
      <w:rFonts w:ascii="Tahoma" w:hAnsi="Tahoma" w:cs="Tahoma"/>
      <w:lang w:val="pl-PL" w:eastAsia="pl-PL"/>
    </w:rPr>
  </w:style>
  <w:style w:type="paragraph" w:styleId="BodyTextIndent3">
    <w:name w:val="Body Text Indent 3"/>
    <w:basedOn w:val="Normal"/>
    <w:link w:val="BodyTextIndent3Char"/>
    <w:uiPriority w:val="99"/>
    <w:rsid w:val="00A01DD3"/>
    <w:pPr>
      <w:spacing w:after="120"/>
      <w:ind w:left="283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D0651B"/>
    <w:rPr>
      <w:sz w:val="16"/>
      <w:szCs w:val="16"/>
    </w:rPr>
  </w:style>
  <w:style w:type="paragraph" w:customStyle="1" w:styleId="CharCharCharCharCharCharCharCharCharChar">
    <w:name w:val="Char Char Char Знак Знак Char Char Char Char Char Char Char"/>
    <w:basedOn w:val="Normal"/>
    <w:uiPriority w:val="99"/>
    <w:rsid w:val="00A01DD3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styleId="Hyperlink">
    <w:name w:val="Hyperlink"/>
    <w:basedOn w:val="DefaultParagraphFont"/>
    <w:uiPriority w:val="99"/>
    <w:rsid w:val="00A01DD3"/>
    <w:rPr>
      <w:color w:val="0000FF"/>
      <w:u w:val="single"/>
    </w:rPr>
  </w:style>
  <w:style w:type="paragraph" w:customStyle="1" w:styleId="Char1CharCharChar1CharCharCharCharCharChar1">
    <w:name w:val="Char1 Char Char Char1 Char Char Char Char Char Char1"/>
    <w:basedOn w:val="Normal"/>
    <w:uiPriority w:val="99"/>
    <w:rsid w:val="00A01DD3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BodyText3">
    <w:name w:val="Body Text 3"/>
    <w:basedOn w:val="Normal"/>
    <w:link w:val="BodyText3Char"/>
    <w:uiPriority w:val="99"/>
    <w:rsid w:val="00A01DD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D0651B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A01DD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D0651B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A01DD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0651B"/>
    <w:rPr>
      <w:sz w:val="24"/>
      <w:szCs w:val="24"/>
    </w:rPr>
  </w:style>
  <w:style w:type="character" w:customStyle="1" w:styleId="FontStyle16">
    <w:name w:val="Font Style16"/>
    <w:uiPriority w:val="99"/>
    <w:rsid w:val="00A01DD3"/>
    <w:rPr>
      <w:rFonts w:ascii="Times New Roman" w:hAnsi="Times New Roman" w:cs="Times New Roman"/>
      <w:b/>
      <w:bCs/>
      <w:sz w:val="22"/>
      <w:szCs w:val="22"/>
    </w:rPr>
  </w:style>
  <w:style w:type="paragraph" w:customStyle="1" w:styleId="CharCharCharCharCharChar">
    <w:name w:val="Char Char Char Char Char Char"/>
    <w:basedOn w:val="Normal"/>
    <w:uiPriority w:val="99"/>
    <w:rsid w:val="00A01DD3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2">
    <w:name w:val="Char Char Char2"/>
    <w:basedOn w:val="Normal"/>
    <w:uiPriority w:val="99"/>
    <w:rsid w:val="00A01DD3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CharCharChar0">
    <w:name w:val="Char Char Char Char Char Char Знак Знак"/>
    <w:basedOn w:val="Normal"/>
    <w:uiPriority w:val="99"/>
    <w:rsid w:val="00A01DD3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TableText">
    <w:name w:val="Table Text"/>
    <w:basedOn w:val="Normal"/>
    <w:autoRedefine/>
    <w:uiPriority w:val="99"/>
    <w:rsid w:val="00A01DD3"/>
    <w:pPr>
      <w:suppressAutoHyphens/>
    </w:pPr>
    <w:rPr>
      <w:rFonts w:ascii="Times New Roman CYR" w:hAnsi="Times New Roman CYR" w:cs="Times New Roman CYR"/>
      <w:b/>
      <w:bCs/>
      <w:caps/>
      <w:spacing w:val="1"/>
      <w:sz w:val="20"/>
      <w:szCs w:val="20"/>
      <w:lang w:eastAsia="en-US"/>
    </w:rPr>
  </w:style>
  <w:style w:type="character" w:customStyle="1" w:styleId="HeaderChar1">
    <w:name w:val="Header Char1"/>
    <w:aliases w:val="Char Char Char1"/>
    <w:link w:val="Header"/>
    <w:uiPriority w:val="99"/>
    <w:locked/>
    <w:rsid w:val="00A01DD3"/>
    <w:rPr>
      <w:sz w:val="24"/>
      <w:szCs w:val="24"/>
      <w:lang w:val="bg-BG" w:eastAsia="bg-BG"/>
    </w:rPr>
  </w:style>
  <w:style w:type="paragraph" w:customStyle="1" w:styleId="CharCharChar3">
    <w:name w:val="Char Char Char3"/>
    <w:basedOn w:val="Normal"/>
    <w:uiPriority w:val="99"/>
    <w:rsid w:val="008F1B66"/>
    <w:pPr>
      <w:tabs>
        <w:tab w:val="left" w:pos="709"/>
      </w:tabs>
    </w:pPr>
    <w:rPr>
      <w:rFonts w:ascii="Tahoma" w:hAnsi="Tahoma" w:cs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21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1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1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1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1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1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minfin.bg/bg/page/85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7</Pages>
  <Words>2449</Words>
  <Characters>15097</Characters>
  <Application>Microsoft Office Word</Application>
  <DocSecurity>0</DocSecurity>
  <Lines>125</Lines>
  <Paragraphs>35</Paragraphs>
  <ScaleCrop>false</ScaleCrop>
  <Company>MDPBA</Company>
  <LinksUpToDate>false</LinksUpToDate>
  <CharactersWithSpaces>17511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ПОКАЗАТЕЛИ, ОТНОСИТЕЛНА ТЕЖЕСТ И МЕТОДИКА ЗА ОПРЕДЕЛЯНЕ НА КОМПЛЕКСНАТА ОЦЕНКА НА ОФЕРТАТА</dc:title>
  <dc:subject/>
  <dc:creator>ialexieva</dc:creator>
  <cp:keywords/>
  <dc:description/>
  <cp:lastModifiedBy>T</cp:lastModifiedBy>
  <cp:revision>19</cp:revision>
  <cp:lastPrinted>2012-06-05T09:06:00Z</cp:lastPrinted>
  <dcterms:created xsi:type="dcterms:W3CDTF">2012-06-05T08:46:00Z</dcterms:created>
  <dcterms:modified xsi:type="dcterms:W3CDTF">2014-09-05T06:30:00Z</dcterms:modified>
</cp:coreProperties>
</file>